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0D5F" w:rsidRDefault="00FC0D5F" w:rsidP="00313049">
      <w:pPr>
        <w:pStyle w:val="ListParagraph"/>
        <w:spacing w:before="100" w:beforeAutospacing="1" w:after="100" w:afterAutospacing="1" w:line="400" w:lineRule="exact"/>
        <w:ind w:leftChars="0" w:left="0"/>
        <w:jc w:val="center"/>
        <w:rPr>
          <w:rFonts w:eastAsia="標楷體"/>
          <w:b/>
          <w:sz w:val="36"/>
          <w:szCs w:val="36"/>
        </w:rPr>
      </w:pPr>
      <w:r w:rsidRPr="00313049">
        <w:rPr>
          <w:rFonts w:eastAsia="標楷體" w:hint="eastAsia"/>
          <w:b/>
          <w:sz w:val="36"/>
          <w:szCs w:val="36"/>
        </w:rPr>
        <w:t>亞洲教育體系二十一世紀素養發展國際論壇</w:t>
      </w:r>
      <w:bookmarkStart w:id="0" w:name="_GoBack"/>
      <w:bookmarkEnd w:id="0"/>
    </w:p>
    <w:p w:rsidR="00FC0D5F" w:rsidRDefault="00FC0D5F" w:rsidP="00B06C8C">
      <w:pPr>
        <w:pStyle w:val="ListParagraph"/>
        <w:spacing w:before="100" w:beforeAutospacing="1" w:after="100" w:afterAutospacing="1" w:line="400" w:lineRule="exact"/>
        <w:ind w:leftChars="0" w:left="0"/>
        <w:rPr>
          <w:rFonts w:eastAsia="標楷體"/>
        </w:rPr>
      </w:pPr>
      <w:r w:rsidRPr="00173F80">
        <w:rPr>
          <w:rFonts w:eastAsia="標楷體" w:hint="eastAsia"/>
          <w:b/>
          <w:sz w:val="28"/>
          <w:szCs w:val="28"/>
        </w:rPr>
        <w:t>壹、會議名稱</w:t>
      </w:r>
    </w:p>
    <w:p w:rsidR="00FC0D5F" w:rsidRPr="00E436F7" w:rsidRDefault="00FC0D5F" w:rsidP="00B06C8C">
      <w:pPr>
        <w:pStyle w:val="ListParagraph"/>
        <w:spacing w:before="100" w:beforeAutospacing="1" w:after="100" w:afterAutospacing="1" w:line="400" w:lineRule="exact"/>
        <w:ind w:leftChars="0" w:left="0"/>
        <w:rPr>
          <w:rFonts w:eastAsia="標楷體"/>
        </w:rPr>
      </w:pPr>
      <w:r w:rsidRPr="00E436F7">
        <w:rPr>
          <w:rFonts w:eastAsia="標楷體" w:hint="eastAsia"/>
        </w:rPr>
        <w:t>亞洲教育體系二十一世紀素養發展國際論壇</w:t>
      </w:r>
    </w:p>
    <w:p w:rsidR="00FC0D5F" w:rsidRPr="00173F80" w:rsidRDefault="00FC0D5F" w:rsidP="00B06C8C">
      <w:pPr>
        <w:pStyle w:val="ListParagraph"/>
        <w:spacing w:line="400" w:lineRule="exact"/>
        <w:ind w:leftChars="0" w:left="0"/>
        <w:rPr>
          <w:rFonts w:eastAsia="標楷體"/>
        </w:rPr>
      </w:pPr>
      <w:r w:rsidRPr="00E436F7">
        <w:rPr>
          <w:rFonts w:eastAsia="標楷體"/>
        </w:rPr>
        <w:t>International Symposium on Advancement of 21st Century Competencies in East Asian Education Systems</w:t>
      </w:r>
    </w:p>
    <w:p w:rsidR="00FC0D5F" w:rsidRPr="00173F80" w:rsidRDefault="00FC0D5F" w:rsidP="00B06C8C">
      <w:pPr>
        <w:spacing w:before="100" w:beforeAutospacing="1" w:after="100" w:afterAutospacing="1" w:line="400" w:lineRule="exact"/>
        <w:rPr>
          <w:rFonts w:eastAsia="標楷體"/>
          <w:b/>
          <w:sz w:val="28"/>
          <w:szCs w:val="28"/>
        </w:rPr>
      </w:pPr>
      <w:r w:rsidRPr="00173F80">
        <w:rPr>
          <w:rFonts w:eastAsia="標楷體" w:hAnsi="標楷體" w:hint="eastAsia"/>
          <w:b/>
          <w:sz w:val="28"/>
          <w:szCs w:val="28"/>
        </w:rPr>
        <w:t>貳、</w:t>
      </w:r>
      <w:r>
        <w:rPr>
          <w:rFonts w:eastAsia="標楷體" w:hAnsi="標楷體" w:hint="eastAsia"/>
          <w:b/>
          <w:sz w:val="28"/>
          <w:szCs w:val="28"/>
        </w:rPr>
        <w:t>活動方式</w:t>
      </w:r>
    </w:p>
    <w:p w:rsidR="00FC0D5F" w:rsidRPr="00173F80" w:rsidRDefault="00FC0D5F" w:rsidP="00B06C8C">
      <w:pPr>
        <w:spacing w:line="400" w:lineRule="exact"/>
        <w:rPr>
          <w:rFonts w:ascii="Times New Roman" w:eastAsia="標楷體" w:hAnsi="Times New Roman"/>
        </w:rPr>
      </w:pPr>
      <w:r w:rsidRPr="00173F80">
        <w:rPr>
          <w:rFonts w:ascii="Times New Roman" w:eastAsia="標楷體" w:hAnsi="標楷體" w:hint="eastAsia"/>
        </w:rPr>
        <w:t>時間：</w:t>
      </w:r>
      <w:r>
        <w:rPr>
          <w:rFonts w:ascii="Times New Roman" w:eastAsia="標楷體" w:hAnsi="Times New Roman"/>
        </w:rPr>
        <w:t>2016</w:t>
      </w:r>
      <w:r w:rsidRPr="00173F80">
        <w:rPr>
          <w:rFonts w:ascii="Times New Roman" w:eastAsia="標楷體" w:hAnsi="標楷體" w:hint="eastAsia"/>
        </w:rPr>
        <w:t>年</w:t>
      </w:r>
      <w:r>
        <w:rPr>
          <w:rFonts w:ascii="Times New Roman" w:eastAsia="標楷體" w:hAnsi="Times New Roman"/>
        </w:rPr>
        <w:t>4</w:t>
      </w:r>
      <w:r w:rsidRPr="00173F80">
        <w:rPr>
          <w:rFonts w:ascii="Times New Roman" w:eastAsia="標楷體" w:hAnsi="標楷體" w:hint="eastAsia"/>
        </w:rPr>
        <w:t>月</w:t>
      </w:r>
      <w:r w:rsidRPr="00173F80">
        <w:rPr>
          <w:rFonts w:ascii="Times New Roman" w:eastAsia="標楷體" w:hAnsi="Times New Roman"/>
        </w:rPr>
        <w:t>2</w:t>
      </w:r>
      <w:r>
        <w:rPr>
          <w:rFonts w:ascii="Times New Roman" w:eastAsia="標楷體" w:hAnsi="標楷體"/>
        </w:rPr>
        <w:t>3</w:t>
      </w:r>
      <w:r w:rsidRPr="00173F80">
        <w:rPr>
          <w:rFonts w:ascii="Times New Roman" w:eastAsia="標楷體" w:hAnsi="標楷體" w:hint="eastAsia"/>
        </w:rPr>
        <w:t>日（</w:t>
      </w:r>
      <w:r>
        <w:rPr>
          <w:rFonts w:ascii="Times New Roman" w:eastAsia="標楷體" w:hAnsi="標楷體" w:hint="eastAsia"/>
        </w:rPr>
        <w:t>週六</w:t>
      </w:r>
      <w:r w:rsidRPr="00173F80">
        <w:rPr>
          <w:rFonts w:ascii="Times New Roman" w:eastAsia="標楷體" w:hAnsi="標楷體" w:hint="eastAsia"/>
        </w:rPr>
        <w:t>）</w:t>
      </w:r>
    </w:p>
    <w:p w:rsidR="00FC0D5F" w:rsidRDefault="00FC0D5F" w:rsidP="00B06C8C">
      <w:pPr>
        <w:spacing w:line="400" w:lineRule="exact"/>
        <w:rPr>
          <w:rFonts w:ascii="Times New Roman" w:eastAsia="標楷體" w:hAnsi="標楷體"/>
        </w:rPr>
      </w:pPr>
      <w:r>
        <w:rPr>
          <w:rFonts w:ascii="Times New Roman" w:eastAsia="標楷體" w:hAnsi="標楷體" w:hint="eastAsia"/>
        </w:rPr>
        <w:t>地點：國立臺灣師範大學教育學院二樓</w:t>
      </w:r>
      <w:r>
        <w:rPr>
          <w:rFonts w:ascii="Times New Roman" w:eastAsia="標楷體" w:hAnsi="標楷體"/>
        </w:rPr>
        <w:t>202</w:t>
      </w:r>
      <w:r>
        <w:rPr>
          <w:rFonts w:ascii="Times New Roman" w:eastAsia="標楷體" w:hAnsi="標楷體" w:hint="eastAsia"/>
        </w:rPr>
        <w:t>國際會議廳</w:t>
      </w:r>
    </w:p>
    <w:p w:rsidR="00FC0D5F" w:rsidRPr="00FC293C" w:rsidRDefault="00FC0D5F" w:rsidP="00B06C8C">
      <w:pPr>
        <w:spacing w:line="400" w:lineRule="exact"/>
        <w:rPr>
          <w:rFonts w:ascii="Times New Roman" w:eastAsia="標楷體" w:hAnsi="Times New Roman"/>
        </w:rPr>
      </w:pPr>
      <w:r w:rsidRPr="00FC293C">
        <w:rPr>
          <w:rFonts w:ascii="Times New Roman" w:eastAsia="標楷體" w:hAnsi="Times New Roman" w:hint="eastAsia"/>
        </w:rPr>
        <w:t>報名網址：</w:t>
      </w:r>
      <w:hyperlink r:id="rId7" w:history="1">
        <w:r w:rsidRPr="00134D78">
          <w:rPr>
            <w:rStyle w:val="Hyperlink"/>
            <w:rFonts w:ascii="Times New Roman" w:eastAsia="標楷體" w:hAnsi="Times New Roman"/>
          </w:rPr>
          <w:t>http://goo.gl/forms/9CsB1qvYnO</w:t>
        </w:r>
      </w:hyperlink>
    </w:p>
    <w:p w:rsidR="00FC0D5F" w:rsidRPr="00173F80" w:rsidRDefault="00FC0D5F" w:rsidP="00B06C8C">
      <w:pPr>
        <w:spacing w:before="100" w:beforeAutospacing="1" w:after="100" w:afterAutospacing="1" w:line="400" w:lineRule="exact"/>
        <w:rPr>
          <w:rFonts w:eastAsia="標楷體" w:hAnsi="Times New Roman"/>
          <w:b/>
          <w:sz w:val="28"/>
          <w:szCs w:val="28"/>
        </w:rPr>
      </w:pPr>
      <w:r w:rsidRPr="00173F80">
        <w:rPr>
          <w:rFonts w:eastAsia="標楷體" w:hAnsi="標楷體" w:hint="eastAsia"/>
          <w:b/>
          <w:sz w:val="28"/>
          <w:szCs w:val="28"/>
        </w:rPr>
        <w:t>參、指導單位與執行單位</w:t>
      </w:r>
    </w:p>
    <w:p w:rsidR="00FC0D5F" w:rsidRPr="00173F80" w:rsidRDefault="00FC0D5F" w:rsidP="00B06C8C">
      <w:pPr>
        <w:spacing w:line="400" w:lineRule="exact"/>
        <w:rPr>
          <w:rFonts w:eastAsia="標楷體"/>
        </w:rPr>
      </w:pPr>
      <w:r w:rsidRPr="00173F80">
        <w:rPr>
          <w:rFonts w:eastAsia="標楷體" w:hAnsi="標楷體" w:hint="eastAsia"/>
        </w:rPr>
        <w:t>指導單位：</w:t>
      </w:r>
      <w:r>
        <w:rPr>
          <w:rFonts w:eastAsia="標楷體" w:hAnsi="標楷體" w:hint="eastAsia"/>
        </w:rPr>
        <w:t>教育部</w:t>
      </w:r>
      <w:r>
        <w:rPr>
          <w:rFonts w:ascii="新細明體" w:hAnsi="新細明體" w:hint="eastAsia"/>
        </w:rPr>
        <w:t>、</w:t>
      </w:r>
      <w:r w:rsidRPr="00173F80">
        <w:rPr>
          <w:rFonts w:eastAsia="標楷體" w:hAnsi="標楷體" w:hint="eastAsia"/>
        </w:rPr>
        <w:t>國立臺灣師範大學</w:t>
      </w:r>
    </w:p>
    <w:p w:rsidR="00FC0D5F" w:rsidRPr="00173F80" w:rsidRDefault="00FC0D5F" w:rsidP="00B06C8C">
      <w:pPr>
        <w:spacing w:line="400" w:lineRule="exact"/>
        <w:rPr>
          <w:rFonts w:eastAsia="標楷體" w:hAnsi="標楷體"/>
        </w:rPr>
      </w:pPr>
      <w:r w:rsidRPr="00173F80">
        <w:rPr>
          <w:rFonts w:eastAsia="標楷體" w:hAnsi="標楷體" w:hint="eastAsia"/>
        </w:rPr>
        <w:t>辦理單位：國立臺灣師範大學</w:t>
      </w:r>
      <w:r>
        <w:rPr>
          <w:rFonts w:eastAsia="標楷體" w:hAnsi="標楷體" w:hint="eastAsia"/>
        </w:rPr>
        <w:t>教育學系、</w:t>
      </w:r>
      <w:r w:rsidRPr="00173F80">
        <w:rPr>
          <w:rFonts w:eastAsia="標楷體" w:hAnsi="標楷體" w:hint="eastAsia"/>
        </w:rPr>
        <w:t>國立臺灣師範大學教育研究與評鑑中心</w:t>
      </w:r>
    </w:p>
    <w:p w:rsidR="00FC0D5F" w:rsidRDefault="00FC0D5F" w:rsidP="00B06C8C">
      <w:pPr>
        <w:spacing w:before="100" w:beforeAutospacing="1" w:after="100" w:afterAutospacing="1" w:line="400" w:lineRule="exact"/>
        <w:rPr>
          <w:rFonts w:eastAsia="標楷體" w:hAnsi="標楷體"/>
          <w:b/>
          <w:sz w:val="28"/>
          <w:szCs w:val="28"/>
        </w:rPr>
      </w:pPr>
      <w:r w:rsidRPr="00173F80">
        <w:rPr>
          <w:rFonts w:eastAsia="標楷體" w:hAnsi="標楷體" w:hint="eastAsia"/>
          <w:b/>
          <w:sz w:val="28"/>
          <w:szCs w:val="28"/>
        </w:rPr>
        <w:t>肆、辦理緣起</w:t>
      </w:r>
    </w:p>
    <w:p w:rsidR="00FC0D5F" w:rsidRDefault="00FC0D5F" w:rsidP="00B06C8C">
      <w:pPr>
        <w:adjustRightInd w:val="0"/>
        <w:snapToGrid w:val="0"/>
        <w:spacing w:line="360" w:lineRule="auto"/>
        <w:ind w:firstLineChars="200" w:firstLine="480"/>
        <w:rPr>
          <w:rFonts w:ascii="標楷體" w:eastAsia="標楷體" w:hAnsi="標楷體"/>
          <w:color w:val="222222"/>
          <w:szCs w:val="24"/>
        </w:rPr>
      </w:pPr>
      <w:r>
        <w:rPr>
          <w:rFonts w:ascii="標楷體" w:eastAsia="標楷體" w:hAnsi="標楷體" w:hint="eastAsia"/>
          <w:color w:val="222222"/>
          <w:szCs w:val="24"/>
        </w:rPr>
        <w:t>邁向二十一世紀之際，全球經歷政治、經濟、社會、文化的劇烈變遷，國際間紛紛思考應培養未來公民具備哪些關鍵能力，以因應二十一世紀全球化競爭的挑戰，例如澳洲於</w:t>
      </w:r>
      <w:r>
        <w:rPr>
          <w:rFonts w:ascii="標楷體" w:eastAsia="標楷體" w:hAnsi="標楷體"/>
          <w:color w:val="222222"/>
          <w:szCs w:val="24"/>
        </w:rPr>
        <w:t>1992</w:t>
      </w:r>
      <w:r>
        <w:rPr>
          <w:rFonts w:ascii="標楷體" w:eastAsia="標楷體" w:hAnsi="標楷體" w:hint="eastAsia"/>
          <w:color w:val="222222"/>
          <w:szCs w:val="24"/>
        </w:rPr>
        <w:t>年提出未來生活學以致用的七項關鍵能力</w:t>
      </w:r>
      <w:r>
        <w:rPr>
          <w:rFonts w:ascii="標楷體" w:eastAsia="標楷體" w:hAnsi="標楷體"/>
          <w:color w:val="222222"/>
          <w:szCs w:val="24"/>
        </w:rPr>
        <w:t>(key competencies)</w:t>
      </w:r>
      <w:r>
        <w:rPr>
          <w:rFonts w:ascii="標楷體" w:eastAsia="標楷體" w:hAnsi="標楷體" w:hint="eastAsia"/>
          <w:color w:val="222222"/>
          <w:szCs w:val="24"/>
        </w:rPr>
        <w:t>，紐西蘭</w:t>
      </w:r>
      <w:r>
        <w:rPr>
          <w:rFonts w:ascii="標楷體" w:eastAsia="標楷體" w:hAnsi="標楷體"/>
          <w:color w:val="222222"/>
          <w:szCs w:val="24"/>
        </w:rPr>
        <w:t>1993</w:t>
      </w:r>
      <w:r>
        <w:rPr>
          <w:rFonts w:ascii="標楷體" w:eastAsia="標楷體" w:hAnsi="標楷體" w:hint="eastAsia"/>
          <w:color w:val="222222"/>
          <w:szCs w:val="24"/>
        </w:rPr>
        <w:t>年的課程架構列出實現成功人生的八項關鍵能力</w:t>
      </w:r>
      <w:r>
        <w:rPr>
          <w:rFonts w:ascii="標楷體" w:eastAsia="標楷體" w:hAnsi="標楷體"/>
          <w:color w:val="222222"/>
          <w:szCs w:val="24"/>
        </w:rPr>
        <w:t>(essential skills)</w:t>
      </w:r>
      <w:r>
        <w:rPr>
          <w:rFonts w:ascii="標楷體" w:eastAsia="標楷體" w:hAnsi="標楷體" w:hint="eastAsia"/>
          <w:color w:val="222222"/>
          <w:szCs w:val="24"/>
        </w:rPr>
        <w:t>，美國也於</w:t>
      </w:r>
      <w:r>
        <w:rPr>
          <w:rFonts w:ascii="標楷體" w:eastAsia="標楷體" w:hAnsi="標楷體"/>
          <w:color w:val="222222"/>
          <w:szCs w:val="24"/>
        </w:rPr>
        <w:t>2003</w:t>
      </w:r>
      <w:r>
        <w:rPr>
          <w:rFonts w:ascii="標楷體" w:eastAsia="標楷體" w:hAnsi="標楷體" w:hint="eastAsia"/>
          <w:color w:val="222222"/>
          <w:szCs w:val="24"/>
        </w:rPr>
        <w:t>年提出二十一世紀職場關鍵能力</w:t>
      </w:r>
      <w:r>
        <w:rPr>
          <w:rFonts w:ascii="標楷體" w:eastAsia="標楷體" w:hAnsi="標楷體"/>
          <w:color w:val="222222"/>
          <w:szCs w:val="24"/>
        </w:rPr>
        <w:t>(workplace know-how)</w:t>
      </w:r>
      <w:r>
        <w:rPr>
          <w:rFonts w:ascii="標楷體" w:eastAsia="標楷體" w:hAnsi="標楷體" w:hint="eastAsia"/>
          <w:color w:val="222222"/>
          <w:szCs w:val="24"/>
        </w:rPr>
        <w:t>；此外，聯合國教科文組織</w:t>
      </w:r>
      <w:r>
        <w:rPr>
          <w:rFonts w:ascii="標楷體" w:eastAsia="標楷體" w:hAnsi="標楷體"/>
          <w:color w:val="222222"/>
          <w:szCs w:val="24"/>
        </w:rPr>
        <w:t>(UNESCO)</w:t>
      </w:r>
      <w:r>
        <w:rPr>
          <w:rFonts w:ascii="標楷體" w:eastAsia="標楷體" w:hAnsi="標楷體" w:hint="eastAsia"/>
          <w:color w:val="222222"/>
          <w:szCs w:val="24"/>
        </w:rPr>
        <w:t>、國際經濟與合作發展組織</w:t>
      </w:r>
      <w:r>
        <w:rPr>
          <w:rFonts w:ascii="標楷體" w:eastAsia="標楷體" w:hAnsi="標楷體"/>
          <w:color w:val="222222"/>
          <w:szCs w:val="24"/>
        </w:rPr>
        <w:t>(OECD)</w:t>
      </w:r>
      <w:r>
        <w:rPr>
          <w:rFonts w:ascii="標楷體" w:eastAsia="標楷體" w:hAnsi="標楷體" w:hint="eastAsia"/>
          <w:color w:val="222222"/>
          <w:szCs w:val="24"/>
        </w:rPr>
        <w:t>，與歐盟</w:t>
      </w:r>
      <w:r>
        <w:rPr>
          <w:rFonts w:ascii="標楷體" w:eastAsia="標楷體" w:hAnsi="標楷體"/>
          <w:color w:val="222222"/>
          <w:szCs w:val="24"/>
        </w:rPr>
        <w:t>(EU)</w:t>
      </w:r>
      <w:r>
        <w:rPr>
          <w:rFonts w:ascii="標楷體" w:eastAsia="標楷體" w:hAnsi="標楷體" w:hint="eastAsia"/>
          <w:color w:val="222222"/>
          <w:szCs w:val="24"/>
        </w:rPr>
        <w:t>分別於</w:t>
      </w:r>
      <w:r>
        <w:rPr>
          <w:rFonts w:ascii="標楷體" w:eastAsia="標楷體" w:hAnsi="標楷體"/>
          <w:color w:val="222222"/>
          <w:szCs w:val="24"/>
        </w:rPr>
        <w:t>1996</w:t>
      </w:r>
      <w:r>
        <w:rPr>
          <w:rFonts w:ascii="標楷體" w:eastAsia="標楷體" w:hAnsi="標楷體" w:hint="eastAsia"/>
          <w:color w:val="222222"/>
          <w:szCs w:val="24"/>
        </w:rPr>
        <w:t>、</w:t>
      </w:r>
      <w:r>
        <w:rPr>
          <w:rFonts w:ascii="標楷體" w:eastAsia="標楷體" w:hAnsi="標楷體"/>
          <w:color w:val="222222"/>
          <w:szCs w:val="24"/>
        </w:rPr>
        <w:t>2001</w:t>
      </w:r>
      <w:r>
        <w:rPr>
          <w:rFonts w:ascii="標楷體" w:eastAsia="標楷體" w:hAnsi="標楷體" w:hint="eastAsia"/>
          <w:color w:val="222222"/>
          <w:szCs w:val="24"/>
        </w:rPr>
        <w:t>與</w:t>
      </w:r>
      <w:r>
        <w:rPr>
          <w:rFonts w:ascii="標楷體" w:eastAsia="標楷體" w:hAnsi="標楷體"/>
          <w:color w:val="222222"/>
          <w:szCs w:val="24"/>
        </w:rPr>
        <w:t>2006</w:t>
      </w:r>
      <w:r>
        <w:rPr>
          <w:rFonts w:ascii="標楷體" w:eastAsia="標楷體" w:hAnsi="標楷體" w:hint="eastAsia"/>
          <w:color w:val="222222"/>
          <w:szCs w:val="24"/>
        </w:rPr>
        <w:t>年提出關鍵能力</w:t>
      </w:r>
      <w:r>
        <w:rPr>
          <w:rFonts w:ascii="標楷體" w:eastAsia="標楷體" w:hAnsi="標楷體"/>
          <w:color w:val="222222"/>
          <w:szCs w:val="24"/>
        </w:rPr>
        <w:t>(key competencies)</w:t>
      </w:r>
      <w:r>
        <w:rPr>
          <w:rFonts w:ascii="標楷體" w:eastAsia="標楷體" w:hAnsi="標楷體" w:hint="eastAsia"/>
          <w:color w:val="222222"/>
          <w:szCs w:val="24"/>
        </w:rPr>
        <w:t>指標，均以終身學習為發展關鍵能力之目標。</w:t>
      </w:r>
    </w:p>
    <w:p w:rsidR="00FC0D5F" w:rsidRDefault="00FC0D5F" w:rsidP="00B06C8C">
      <w:pPr>
        <w:adjustRightInd w:val="0"/>
        <w:snapToGrid w:val="0"/>
        <w:spacing w:line="360" w:lineRule="auto"/>
        <w:ind w:firstLineChars="200" w:firstLine="480"/>
        <w:rPr>
          <w:rFonts w:ascii="標楷體" w:eastAsia="標楷體" w:hAnsi="標楷體"/>
          <w:color w:val="222222"/>
          <w:szCs w:val="24"/>
        </w:rPr>
      </w:pPr>
      <w:r>
        <w:rPr>
          <w:rFonts w:ascii="標楷體" w:eastAsia="標楷體" w:hAnsi="標楷體" w:hint="eastAsia"/>
          <w:color w:val="222222"/>
          <w:szCs w:val="24"/>
        </w:rPr>
        <w:t>我國也於二十世紀末開始進行以能力為導向的學校課程改革，如九年一貫課程明列之十大基本能力，同時參考全球關鍵能力指標發展之趨勢，也於最近的十二年國民基本教育</w:t>
      </w:r>
      <w:r>
        <w:rPr>
          <w:rFonts w:ascii="標楷體" w:eastAsia="標楷體" w:hAnsi="標楷體"/>
          <w:color w:val="222222"/>
          <w:szCs w:val="24"/>
        </w:rPr>
        <w:t>(</w:t>
      </w:r>
      <w:r>
        <w:rPr>
          <w:rFonts w:ascii="標楷體" w:eastAsia="標楷體" w:hAnsi="標楷體" w:hint="eastAsia"/>
          <w:color w:val="222222"/>
          <w:szCs w:val="24"/>
        </w:rPr>
        <w:t>以下簡稱十二年國教</w:t>
      </w:r>
      <w:r>
        <w:rPr>
          <w:rFonts w:ascii="標楷體" w:eastAsia="標楷體" w:hAnsi="標楷體"/>
          <w:color w:val="222222"/>
          <w:szCs w:val="24"/>
        </w:rPr>
        <w:t>)</w:t>
      </w:r>
      <w:r>
        <w:rPr>
          <w:rFonts w:ascii="標楷體" w:eastAsia="標楷體" w:hAnsi="標楷體" w:hint="eastAsia"/>
          <w:color w:val="222222"/>
          <w:szCs w:val="24"/>
        </w:rPr>
        <w:t>改革中大幅修正課程架構與十大基本能力指標，導入素養的概念。十二年國教課程總綱即以「核心素養」</w:t>
      </w:r>
      <w:r w:rsidRPr="00CE0463">
        <w:rPr>
          <w:rFonts w:ascii="標楷體" w:eastAsia="標楷體" w:hAnsi="標楷體" w:hint="eastAsia"/>
          <w:color w:val="222222"/>
          <w:szCs w:val="24"/>
        </w:rPr>
        <w:t>為課程發展之主軸，培養具有終身學習力與國際視野的優質國民</w:t>
      </w:r>
      <w:r>
        <w:rPr>
          <w:rFonts w:ascii="標楷體" w:eastAsia="標楷體" w:hAnsi="標楷體" w:hint="eastAsia"/>
          <w:color w:val="222222"/>
          <w:szCs w:val="24"/>
        </w:rPr>
        <w:t>。基於十二年國教實施計畫之配套方案，在掌握人力素質方面，教育部成立提升國民素養專案辦公室，執行「提升國民素養實施方案」，建立國民素養架構與進行國民素養調查，以瞭解接受十二年國教之畢業生是否具備適應現代生活與面對未來挑戰所需的知識、能力與態度。再者，教育部也將補救教學列為十二年國教精進計畫之一，特別針對後期中等教育階段低成就學生之適性發展，委請國立台灣師範大學教育研究與評鑑中心研發</w:t>
      </w:r>
      <w:r w:rsidRPr="00BC52D9">
        <w:rPr>
          <w:rFonts w:ascii="標楷體" w:eastAsia="標楷體" w:hAnsi="標楷體" w:hint="eastAsia"/>
          <w:color w:val="222222"/>
          <w:szCs w:val="24"/>
        </w:rPr>
        <w:t>「高中職工具科目基礎學力素養」</w:t>
      </w:r>
      <w:r>
        <w:rPr>
          <w:rFonts w:ascii="標楷體" w:eastAsia="標楷體" w:hAnsi="標楷體" w:hint="eastAsia"/>
          <w:color w:val="222222"/>
          <w:szCs w:val="24"/>
        </w:rPr>
        <w:t>，以確保低成就學生之基礎學力。</w:t>
      </w:r>
    </w:p>
    <w:p w:rsidR="00FC0D5F" w:rsidRPr="00B84C12" w:rsidRDefault="00FC0D5F" w:rsidP="00B06C8C">
      <w:pPr>
        <w:adjustRightInd w:val="0"/>
        <w:snapToGrid w:val="0"/>
        <w:spacing w:line="360" w:lineRule="auto"/>
        <w:ind w:firstLineChars="200" w:firstLine="480"/>
        <w:rPr>
          <w:rFonts w:ascii="Times New Roman" w:eastAsia="標楷體" w:hAnsi="Times New Roman"/>
        </w:rPr>
      </w:pPr>
      <w:r>
        <w:rPr>
          <w:rFonts w:ascii="標楷體" w:eastAsia="標楷體" w:hAnsi="標楷體" w:hint="eastAsia"/>
          <w:color w:val="222222"/>
          <w:szCs w:val="24"/>
        </w:rPr>
        <w:t>十二年國教課程發展參考國際能力</w:t>
      </w:r>
      <w:r>
        <w:rPr>
          <w:rFonts w:ascii="標楷體" w:eastAsia="標楷體" w:hAnsi="標楷體"/>
          <w:color w:val="222222"/>
          <w:szCs w:val="24"/>
        </w:rPr>
        <w:t>/</w:t>
      </w:r>
      <w:r>
        <w:rPr>
          <w:rFonts w:ascii="標楷體" w:eastAsia="標楷體" w:hAnsi="標楷體" w:hint="eastAsia"/>
          <w:color w:val="222222"/>
          <w:szCs w:val="24"/>
        </w:rPr>
        <w:t>素養指標，納入了「素養」概念，然而，此「素養」概念引起諸多不同的詮釋。不僅英文的能力或素養概念在國際間已有不同的詞彙所詮釋，例如</w:t>
      </w:r>
      <w:r>
        <w:rPr>
          <w:rFonts w:ascii="標楷體" w:eastAsia="標楷體" w:hAnsi="標楷體"/>
          <w:color w:val="222222"/>
          <w:szCs w:val="24"/>
        </w:rPr>
        <w:t>skill</w:t>
      </w:r>
      <w:r>
        <w:rPr>
          <w:rFonts w:ascii="標楷體" w:eastAsia="標楷體" w:hAnsi="標楷體" w:hint="eastAsia"/>
          <w:color w:val="222222"/>
          <w:szCs w:val="24"/>
        </w:rPr>
        <w:t>、</w:t>
      </w:r>
      <w:r>
        <w:rPr>
          <w:rFonts w:ascii="標楷體" w:eastAsia="標楷體" w:hAnsi="標楷體"/>
          <w:color w:val="222222"/>
          <w:szCs w:val="24"/>
        </w:rPr>
        <w:t>competency</w:t>
      </w:r>
      <w:r>
        <w:rPr>
          <w:rFonts w:ascii="標楷體" w:eastAsia="標楷體" w:hAnsi="標楷體" w:hint="eastAsia"/>
          <w:color w:val="222222"/>
          <w:szCs w:val="24"/>
        </w:rPr>
        <w:t>、</w:t>
      </w:r>
      <w:r>
        <w:rPr>
          <w:rFonts w:ascii="標楷體" w:eastAsia="標楷體" w:hAnsi="標楷體"/>
          <w:color w:val="222222"/>
          <w:szCs w:val="24"/>
        </w:rPr>
        <w:t>literacy</w:t>
      </w:r>
      <w:r>
        <w:rPr>
          <w:rFonts w:ascii="標楷體" w:eastAsia="標楷體" w:hAnsi="標楷體" w:hint="eastAsia"/>
          <w:color w:val="222222"/>
          <w:szCs w:val="24"/>
        </w:rPr>
        <w:t>或是</w:t>
      </w:r>
      <w:r>
        <w:rPr>
          <w:rFonts w:ascii="標楷體" w:eastAsia="標楷體" w:hAnsi="標楷體"/>
          <w:color w:val="222222"/>
          <w:szCs w:val="24"/>
        </w:rPr>
        <w:t>citizenship</w:t>
      </w:r>
      <w:r>
        <w:rPr>
          <w:rFonts w:ascii="標楷體" w:eastAsia="標楷體" w:hAnsi="標楷體" w:hint="eastAsia"/>
          <w:color w:val="222222"/>
          <w:szCs w:val="24"/>
        </w:rPr>
        <w:t>，</w:t>
      </w:r>
      <w:r>
        <w:rPr>
          <w:rFonts w:ascii="標楷體" w:eastAsia="標楷體" w:hAnsi="標楷體"/>
          <w:color w:val="222222"/>
          <w:szCs w:val="24"/>
        </w:rPr>
        <w:t xml:space="preserve"> </w:t>
      </w:r>
      <w:r>
        <w:rPr>
          <w:rFonts w:ascii="標楷體" w:eastAsia="標楷體" w:hAnsi="標楷體" w:hint="eastAsia"/>
          <w:color w:val="222222"/>
          <w:szCs w:val="24"/>
        </w:rPr>
        <w:t>而且國際間發展之能力或素養指標也指涉不同的意涵，因此，我國十二年國教課程提出之「核心素養」或是提升國民素養實施方案之「國民素養」意涵有待釐清。除了歐美地區，亞洲國家</w:t>
      </w:r>
      <w:r>
        <w:rPr>
          <w:rFonts w:ascii="標楷體" w:eastAsia="標楷體" w:hAnsi="標楷體"/>
          <w:color w:val="222222"/>
          <w:szCs w:val="24"/>
        </w:rPr>
        <w:t>(</w:t>
      </w:r>
      <w:r>
        <w:rPr>
          <w:rFonts w:ascii="標楷體" w:eastAsia="標楷體" w:hAnsi="標楷體" w:hint="eastAsia"/>
          <w:color w:val="222222"/>
          <w:szCs w:val="24"/>
        </w:rPr>
        <w:t>如日本、韓國、新加坡</w:t>
      </w:r>
      <w:r>
        <w:rPr>
          <w:rFonts w:ascii="標楷體" w:eastAsia="標楷體" w:hAnsi="標楷體"/>
          <w:color w:val="222222"/>
          <w:szCs w:val="24"/>
        </w:rPr>
        <w:t>)</w:t>
      </w:r>
      <w:r>
        <w:rPr>
          <w:rFonts w:ascii="標楷體" w:eastAsia="標楷體" w:hAnsi="標楷體" w:hint="eastAsia"/>
          <w:color w:val="222222"/>
          <w:szCs w:val="24"/>
        </w:rPr>
        <w:t>也以提升國家競爭力為目標，投入二十一世紀人才培育，發展以素養本位之學校課程，面對亞太地區之國際競爭力，我國有必要參照亞洲國家之二十一世紀素養發展，以深化我國國民素養內涵與品質。</w:t>
      </w:r>
      <w:r w:rsidRPr="00173F80">
        <w:rPr>
          <w:rFonts w:ascii="Times New Roman" w:eastAsia="標楷體" w:hAnsi="Times New Roman" w:hint="eastAsia"/>
        </w:rPr>
        <w:t>為此，國立臺灣師範大學教育研究與評鑑中心</w:t>
      </w:r>
      <w:r>
        <w:rPr>
          <w:rFonts w:ascii="Times New Roman" w:eastAsia="標楷體" w:hAnsi="Times New Roman" w:hint="eastAsia"/>
        </w:rPr>
        <w:t>與教育學系</w:t>
      </w:r>
      <w:r w:rsidRPr="00173F80">
        <w:rPr>
          <w:rFonts w:ascii="Times New Roman" w:eastAsia="標楷體" w:hAnsi="Times New Roman" w:hint="eastAsia"/>
        </w:rPr>
        <w:t>特籌劃「</w:t>
      </w:r>
      <w:r w:rsidRPr="00E436F7">
        <w:rPr>
          <w:rFonts w:eastAsia="標楷體" w:hint="eastAsia"/>
        </w:rPr>
        <w:t>亞洲教育體系二十一世紀素養發展國際論壇</w:t>
      </w:r>
      <w:r>
        <w:rPr>
          <w:rFonts w:eastAsia="標楷體" w:hint="eastAsia"/>
        </w:rPr>
        <w:t>」，邀請亞太國家學者</w:t>
      </w:r>
      <w:r>
        <w:rPr>
          <w:rFonts w:eastAsia="標楷體"/>
        </w:rPr>
        <w:t>(</w:t>
      </w:r>
      <w:r>
        <w:rPr>
          <w:rFonts w:eastAsia="標楷體" w:hint="eastAsia"/>
        </w:rPr>
        <w:t>香港、新加坡、日本與韓國</w:t>
      </w:r>
      <w:r>
        <w:rPr>
          <w:rFonts w:eastAsia="標楷體"/>
        </w:rPr>
        <w:t>)</w:t>
      </w:r>
      <w:r>
        <w:rPr>
          <w:rFonts w:eastAsia="標楷體" w:hint="eastAsia"/>
        </w:rPr>
        <w:t>參與研討，</w:t>
      </w:r>
      <w:r>
        <w:rPr>
          <w:rFonts w:ascii="Times New Roman" w:eastAsia="標楷體" w:hAnsi="Times New Roman" w:hint="eastAsia"/>
        </w:rPr>
        <w:t>分析亞太地區各國二十一世紀素養發展的脈絡與</w:t>
      </w:r>
      <w:r w:rsidRPr="00173F80">
        <w:rPr>
          <w:rFonts w:ascii="Times New Roman" w:eastAsia="標楷體" w:hAnsi="Times New Roman" w:hint="eastAsia"/>
        </w:rPr>
        <w:t>現況</w:t>
      </w:r>
      <w:r>
        <w:rPr>
          <w:rFonts w:ascii="Times New Roman" w:eastAsia="標楷體" w:hAnsi="Times New Roman" w:hint="eastAsia"/>
        </w:rPr>
        <w:t>，研討各國國民素養指標發展與實施之挑戰與</w:t>
      </w:r>
      <w:r w:rsidRPr="00173F80">
        <w:rPr>
          <w:rFonts w:ascii="Times New Roman" w:eastAsia="標楷體" w:hAnsi="Times New Roman" w:hint="eastAsia"/>
        </w:rPr>
        <w:t>方向，期將研討成果提供相關</w:t>
      </w:r>
      <w:r>
        <w:rPr>
          <w:rFonts w:ascii="Times New Roman" w:eastAsia="標楷體" w:hAnsi="Times New Roman" w:hint="eastAsia"/>
        </w:rPr>
        <w:t>教育</w:t>
      </w:r>
      <w:r w:rsidRPr="00173F80">
        <w:rPr>
          <w:rFonts w:ascii="Times New Roman" w:eastAsia="標楷體" w:hAnsi="Times New Roman" w:hint="eastAsia"/>
        </w:rPr>
        <w:t>單位參考，以奠立我國</w:t>
      </w:r>
      <w:r>
        <w:rPr>
          <w:rFonts w:ascii="Times New Roman" w:eastAsia="標楷體" w:hAnsi="Times New Roman" w:hint="eastAsia"/>
        </w:rPr>
        <w:t>國民素養指標發展</w:t>
      </w:r>
      <w:r w:rsidRPr="00173F80">
        <w:rPr>
          <w:rFonts w:ascii="Times New Roman" w:eastAsia="標楷體" w:hAnsi="Times New Roman" w:hint="eastAsia"/>
        </w:rPr>
        <w:t>之良好基石</w:t>
      </w:r>
      <w:r>
        <w:rPr>
          <w:rFonts w:ascii="Times New Roman" w:eastAsia="標楷體" w:hAnsi="Times New Roman" w:hint="eastAsia"/>
        </w:rPr>
        <w:t>，進一步提升我國國民素養。</w:t>
      </w:r>
    </w:p>
    <w:p w:rsidR="00FC0D5F" w:rsidRPr="00173F80" w:rsidRDefault="00FC0D5F" w:rsidP="00B06C8C">
      <w:pPr>
        <w:spacing w:before="100" w:beforeAutospacing="1" w:after="100" w:afterAutospacing="1" w:line="400" w:lineRule="exact"/>
        <w:rPr>
          <w:rFonts w:ascii="Times New Roman" w:eastAsia="標楷體" w:hAnsi="Times New Roman"/>
          <w:b/>
          <w:sz w:val="28"/>
          <w:szCs w:val="28"/>
        </w:rPr>
      </w:pPr>
      <w:r w:rsidRPr="00173F80">
        <w:rPr>
          <w:rFonts w:ascii="Times New Roman" w:eastAsia="標楷體" w:hAnsi="標楷體" w:hint="eastAsia"/>
          <w:b/>
          <w:sz w:val="28"/>
          <w:szCs w:val="28"/>
        </w:rPr>
        <w:t>伍、辦理目的</w:t>
      </w:r>
    </w:p>
    <w:p w:rsidR="00FC0D5F" w:rsidRDefault="00FC0D5F" w:rsidP="00F80933">
      <w:pPr>
        <w:tabs>
          <w:tab w:val="left" w:pos="5560"/>
        </w:tabs>
        <w:spacing w:beforeLines="50" w:afterLines="50" w:line="400" w:lineRule="exact"/>
        <w:rPr>
          <w:rFonts w:ascii="Times New Roman" w:eastAsia="標楷體" w:hAnsi="Times New Roman"/>
        </w:rPr>
      </w:pPr>
      <w:r w:rsidRPr="00173F80">
        <w:rPr>
          <w:rFonts w:ascii="Times New Roman" w:eastAsia="標楷體" w:hAnsi="Times New Roman" w:hint="eastAsia"/>
        </w:rPr>
        <w:t>本次會議目的如下：</w:t>
      </w:r>
    </w:p>
    <w:p w:rsidR="00FC0D5F" w:rsidRPr="00FB09C1" w:rsidRDefault="00FC0D5F" w:rsidP="00F80933">
      <w:pPr>
        <w:numPr>
          <w:ilvl w:val="0"/>
          <w:numId w:val="3"/>
        </w:numPr>
        <w:tabs>
          <w:tab w:val="clear" w:pos="840"/>
        </w:tabs>
        <w:spacing w:afterLines="50" w:line="400" w:lineRule="exact"/>
        <w:ind w:leftChars="50" w:left="1078" w:hanging="958"/>
        <w:jc w:val="both"/>
        <w:rPr>
          <w:rFonts w:ascii="Times New Roman" w:eastAsia="標楷體" w:hAnsi="Times New Roman"/>
        </w:rPr>
      </w:pPr>
      <w:r w:rsidRPr="00173F80">
        <w:rPr>
          <w:rFonts w:ascii="Times New Roman" w:eastAsia="標楷體" w:hAnsi="Times New Roman" w:hint="eastAsia"/>
        </w:rPr>
        <w:t>分析我國</w:t>
      </w:r>
      <w:r>
        <w:rPr>
          <w:rFonts w:ascii="Times New Roman" w:eastAsia="標楷體" w:hAnsi="Times New Roman" w:hint="eastAsia"/>
        </w:rPr>
        <w:t>與亞洲各國二十一世紀素養發展之現</w:t>
      </w:r>
      <w:r w:rsidRPr="00FB09C1">
        <w:rPr>
          <w:rFonts w:ascii="Times New Roman" w:eastAsia="標楷體" w:hAnsi="Times New Roman" w:hint="eastAsia"/>
        </w:rPr>
        <w:t>況、成就與挑戰。</w:t>
      </w:r>
    </w:p>
    <w:p w:rsidR="00FC0D5F" w:rsidRPr="00173F80" w:rsidRDefault="00FC0D5F" w:rsidP="00F80933">
      <w:pPr>
        <w:numPr>
          <w:ilvl w:val="0"/>
          <w:numId w:val="3"/>
        </w:numPr>
        <w:tabs>
          <w:tab w:val="clear" w:pos="840"/>
        </w:tabs>
        <w:spacing w:afterLines="50" w:line="400" w:lineRule="exact"/>
        <w:ind w:leftChars="50" w:left="1078" w:hanging="958"/>
        <w:jc w:val="both"/>
        <w:rPr>
          <w:rFonts w:ascii="Times New Roman" w:eastAsia="標楷體" w:hAnsi="Times New Roman"/>
        </w:rPr>
      </w:pPr>
      <w:r w:rsidRPr="00173F80">
        <w:rPr>
          <w:rFonts w:ascii="Times New Roman" w:eastAsia="標楷體" w:hAnsi="Times New Roman" w:hint="eastAsia"/>
        </w:rPr>
        <w:t>以</w:t>
      </w:r>
      <w:r>
        <w:rPr>
          <w:rFonts w:ascii="Times New Roman" w:eastAsia="標楷體" w:hAnsi="Times New Roman" w:hint="eastAsia"/>
        </w:rPr>
        <w:t>亞洲各國二十一世紀素養</w:t>
      </w:r>
      <w:r w:rsidRPr="00173F80">
        <w:rPr>
          <w:rFonts w:ascii="Times New Roman" w:eastAsia="標楷體" w:hAnsi="Times New Roman" w:hint="eastAsia"/>
        </w:rPr>
        <w:t>發展</w:t>
      </w:r>
      <w:r>
        <w:rPr>
          <w:rFonts w:ascii="Times New Roman" w:eastAsia="標楷體" w:hAnsi="Times New Roman" w:hint="eastAsia"/>
        </w:rPr>
        <w:t>之</w:t>
      </w:r>
      <w:r w:rsidRPr="00173F80">
        <w:rPr>
          <w:rFonts w:ascii="Times New Roman" w:eastAsia="標楷體" w:hAnsi="Times New Roman" w:hint="eastAsia"/>
        </w:rPr>
        <w:t>趨勢為參照，深化我國</w:t>
      </w:r>
      <w:r>
        <w:rPr>
          <w:rFonts w:ascii="Times New Roman" w:eastAsia="標楷體" w:hAnsi="Times New Roman" w:hint="eastAsia"/>
        </w:rPr>
        <w:t>國民素養發展</w:t>
      </w:r>
      <w:r w:rsidRPr="00173F80">
        <w:rPr>
          <w:rFonts w:ascii="Times New Roman" w:eastAsia="標楷體" w:hAnsi="Times New Roman" w:hint="eastAsia"/>
        </w:rPr>
        <w:t>的理論基礎與研究方法。</w:t>
      </w:r>
    </w:p>
    <w:p w:rsidR="00FC0D5F" w:rsidRPr="00E83FAE" w:rsidRDefault="00FC0D5F" w:rsidP="00F80933">
      <w:pPr>
        <w:numPr>
          <w:ilvl w:val="0"/>
          <w:numId w:val="3"/>
        </w:numPr>
        <w:tabs>
          <w:tab w:val="clear" w:pos="840"/>
        </w:tabs>
        <w:spacing w:afterLines="50" w:line="400" w:lineRule="exact"/>
        <w:ind w:leftChars="50" w:left="1078" w:hanging="958"/>
        <w:jc w:val="both"/>
        <w:rPr>
          <w:rFonts w:ascii="Times New Roman" w:eastAsia="標楷體" w:hAnsi="Times New Roman"/>
        </w:rPr>
      </w:pPr>
      <w:r w:rsidRPr="00173F80">
        <w:rPr>
          <w:rFonts w:ascii="Times New Roman" w:eastAsia="標楷體" w:hAnsi="Times New Roman" w:hint="eastAsia"/>
        </w:rPr>
        <w:t>促進</w:t>
      </w:r>
      <w:r>
        <w:rPr>
          <w:rFonts w:ascii="Times New Roman" w:eastAsia="標楷體" w:hAnsi="Times New Roman" w:hint="eastAsia"/>
        </w:rPr>
        <w:t>我國國民素養發展</w:t>
      </w:r>
      <w:r w:rsidRPr="00173F80">
        <w:rPr>
          <w:rFonts w:ascii="Times New Roman" w:eastAsia="標楷體" w:hAnsi="Times New Roman" w:hint="eastAsia"/>
        </w:rPr>
        <w:t>的內涵</w:t>
      </w:r>
      <w:r>
        <w:rPr>
          <w:rFonts w:ascii="Times New Roman" w:eastAsia="標楷體" w:hAnsi="Times New Roman" w:hint="eastAsia"/>
        </w:rPr>
        <w:t>，實現十二年國民基本教育厚植國家競爭力與適性揚才之目標</w:t>
      </w:r>
      <w:r w:rsidRPr="00173F80">
        <w:rPr>
          <w:rFonts w:ascii="Times New Roman" w:eastAsia="標楷體" w:hAnsi="Times New Roman" w:hint="eastAsia"/>
        </w:rPr>
        <w:t>。</w:t>
      </w:r>
    </w:p>
    <w:p w:rsidR="00FC0D5F" w:rsidRDefault="00FC0D5F" w:rsidP="00B06C8C">
      <w:pPr>
        <w:spacing w:before="100" w:beforeAutospacing="1" w:after="100" w:afterAutospacing="1" w:line="400" w:lineRule="exact"/>
        <w:rPr>
          <w:rFonts w:ascii="Times New Roman" w:eastAsia="標楷體" w:hAnsi="標楷體"/>
          <w:b/>
          <w:sz w:val="28"/>
          <w:szCs w:val="28"/>
        </w:rPr>
      </w:pPr>
    </w:p>
    <w:p w:rsidR="00FC0D5F" w:rsidRPr="00173F80" w:rsidRDefault="00FC0D5F" w:rsidP="00B06C8C">
      <w:pPr>
        <w:spacing w:before="100" w:beforeAutospacing="1" w:after="100" w:afterAutospacing="1" w:line="400" w:lineRule="exact"/>
        <w:rPr>
          <w:rFonts w:ascii="Times New Roman" w:eastAsia="標楷體" w:hAnsi="Times New Roman"/>
          <w:b/>
          <w:sz w:val="28"/>
          <w:szCs w:val="28"/>
        </w:rPr>
      </w:pPr>
      <w:r w:rsidRPr="00173F80">
        <w:rPr>
          <w:rFonts w:ascii="Times New Roman" w:eastAsia="標楷體" w:hAnsi="標楷體" w:hint="eastAsia"/>
          <w:b/>
          <w:sz w:val="28"/>
          <w:szCs w:val="28"/>
        </w:rPr>
        <w:t>陸、會議主題</w:t>
      </w:r>
    </w:p>
    <w:p w:rsidR="00FC0D5F" w:rsidRDefault="00FC0D5F" w:rsidP="00F80933">
      <w:pPr>
        <w:spacing w:beforeLines="50" w:line="400" w:lineRule="exact"/>
        <w:rPr>
          <w:rFonts w:ascii="Times New Roman" w:eastAsia="標楷體" w:hAnsi="標楷體"/>
          <w:szCs w:val="24"/>
        </w:rPr>
      </w:pPr>
      <w:r w:rsidRPr="00173F80">
        <w:rPr>
          <w:rFonts w:ascii="Times New Roman" w:eastAsia="標楷體" w:hAnsi="標楷體" w:hint="eastAsia"/>
          <w:szCs w:val="24"/>
        </w:rPr>
        <w:t>本會議主題及其研討內涵如下：</w:t>
      </w:r>
    </w:p>
    <w:p w:rsidR="00FC0D5F" w:rsidRPr="00B25BC5" w:rsidRDefault="00FC0D5F" w:rsidP="00F80933">
      <w:pPr>
        <w:pStyle w:val="ListParagraph"/>
        <w:numPr>
          <w:ilvl w:val="0"/>
          <w:numId w:val="1"/>
        </w:numPr>
        <w:spacing w:beforeLines="50" w:line="400" w:lineRule="exact"/>
        <w:ind w:leftChars="0" w:left="964" w:hanging="482"/>
        <w:jc w:val="both"/>
        <w:rPr>
          <w:rFonts w:eastAsia="標楷體"/>
        </w:rPr>
      </w:pPr>
      <w:r>
        <w:rPr>
          <w:rFonts w:eastAsia="標楷體" w:hint="eastAsia"/>
        </w:rPr>
        <w:t>我國與亞太地區二十一世紀素養發展之脈絡與趨勢</w:t>
      </w:r>
    </w:p>
    <w:p w:rsidR="00FC0D5F" w:rsidRPr="00B25BC5" w:rsidRDefault="00FC0D5F" w:rsidP="00F80933">
      <w:pPr>
        <w:pStyle w:val="ListParagraph"/>
        <w:numPr>
          <w:ilvl w:val="0"/>
          <w:numId w:val="1"/>
        </w:numPr>
        <w:spacing w:beforeLines="50" w:line="400" w:lineRule="exact"/>
        <w:ind w:leftChars="0" w:left="964" w:hanging="482"/>
        <w:jc w:val="both"/>
        <w:rPr>
          <w:rFonts w:eastAsia="標楷體"/>
        </w:rPr>
      </w:pPr>
      <w:r>
        <w:rPr>
          <w:rFonts w:eastAsia="標楷體" w:hint="eastAsia"/>
        </w:rPr>
        <w:t>我國與亞太地區二十一世紀素養發展之成就、議題與挑戰</w:t>
      </w:r>
    </w:p>
    <w:p w:rsidR="00FC0D5F" w:rsidRPr="0083435C" w:rsidRDefault="00FC0D5F" w:rsidP="00F80933">
      <w:pPr>
        <w:pStyle w:val="ListParagraph"/>
        <w:numPr>
          <w:ilvl w:val="0"/>
          <w:numId w:val="1"/>
        </w:numPr>
        <w:spacing w:beforeLines="50" w:line="400" w:lineRule="exact"/>
        <w:ind w:leftChars="0" w:left="964" w:hanging="482"/>
        <w:jc w:val="both"/>
        <w:rPr>
          <w:rFonts w:eastAsia="標楷體"/>
        </w:rPr>
      </w:pPr>
      <w:r>
        <w:rPr>
          <w:rFonts w:eastAsia="標楷體" w:hint="eastAsia"/>
        </w:rPr>
        <w:t>我國與亞太地區二十一世紀素養發展之方向與展望</w:t>
      </w:r>
    </w:p>
    <w:p w:rsidR="00FC0D5F" w:rsidRPr="00173F80" w:rsidRDefault="00FC0D5F" w:rsidP="00B06C8C">
      <w:pPr>
        <w:spacing w:before="100" w:beforeAutospacing="1" w:after="100" w:afterAutospacing="1" w:line="400" w:lineRule="exact"/>
        <w:rPr>
          <w:rFonts w:ascii="Times New Roman" w:eastAsia="標楷體" w:hAnsi="Times New Roman"/>
          <w:b/>
          <w:sz w:val="28"/>
          <w:szCs w:val="28"/>
        </w:rPr>
      </w:pPr>
      <w:r w:rsidRPr="00173F80">
        <w:rPr>
          <w:rFonts w:ascii="Times New Roman" w:eastAsia="標楷體" w:hAnsi="標楷體" w:hint="eastAsia"/>
          <w:b/>
          <w:sz w:val="28"/>
          <w:szCs w:val="28"/>
        </w:rPr>
        <w:t>柒、辦理型式</w:t>
      </w:r>
    </w:p>
    <w:p w:rsidR="00FC0D5F" w:rsidRPr="00173F80" w:rsidRDefault="00FC0D5F" w:rsidP="00B06C8C">
      <w:pPr>
        <w:tabs>
          <w:tab w:val="left" w:pos="0"/>
          <w:tab w:val="left" w:pos="960"/>
        </w:tabs>
        <w:spacing w:line="400" w:lineRule="exact"/>
        <w:ind w:left="480"/>
        <w:jc w:val="both"/>
        <w:rPr>
          <w:rFonts w:ascii="Times New Roman" w:eastAsia="標楷體" w:hAnsi="標楷體"/>
        </w:rPr>
      </w:pPr>
      <w:r>
        <w:rPr>
          <w:rFonts w:ascii="Times New Roman" w:eastAsia="標楷體" w:hAnsi="標楷體" w:hint="eastAsia"/>
        </w:rPr>
        <w:t>本論壇</w:t>
      </w:r>
      <w:r w:rsidRPr="00173F80">
        <w:rPr>
          <w:rFonts w:ascii="Times New Roman" w:eastAsia="標楷體" w:hAnsi="標楷體" w:hint="eastAsia"/>
        </w:rPr>
        <w:t>擬採取下列方式辦理：</w:t>
      </w:r>
    </w:p>
    <w:p w:rsidR="00FC0D5F" w:rsidRPr="00583759" w:rsidRDefault="00FC0D5F" w:rsidP="00F80933">
      <w:pPr>
        <w:pStyle w:val="ListParagraph"/>
        <w:numPr>
          <w:ilvl w:val="0"/>
          <w:numId w:val="2"/>
        </w:numPr>
        <w:tabs>
          <w:tab w:val="left" w:pos="0"/>
          <w:tab w:val="left" w:pos="960"/>
        </w:tabs>
        <w:spacing w:beforeLines="50" w:afterLines="50" w:line="400" w:lineRule="exact"/>
        <w:ind w:leftChars="0"/>
        <w:jc w:val="both"/>
        <w:rPr>
          <w:rFonts w:eastAsia="標楷體"/>
          <w:b/>
        </w:rPr>
      </w:pPr>
      <w:r w:rsidRPr="00173F80">
        <w:rPr>
          <w:rFonts w:eastAsia="標楷體" w:hAnsi="標楷體" w:hint="eastAsia"/>
          <w:b/>
        </w:rPr>
        <w:t>專題演講</w:t>
      </w:r>
    </w:p>
    <w:p w:rsidR="00FC0D5F" w:rsidRPr="007615FA" w:rsidRDefault="00FC0D5F" w:rsidP="00F80933">
      <w:pPr>
        <w:pStyle w:val="ListParagraph"/>
        <w:spacing w:afterLines="50" w:line="400" w:lineRule="exact"/>
        <w:ind w:leftChars="0" w:left="0" w:firstLineChars="200" w:firstLine="480"/>
        <w:jc w:val="both"/>
        <w:rPr>
          <w:rFonts w:eastAsia="標楷體" w:hAnsi="標楷體"/>
        </w:rPr>
      </w:pPr>
      <w:r w:rsidRPr="00173F80">
        <w:rPr>
          <w:rFonts w:eastAsia="標楷體" w:hint="eastAsia"/>
        </w:rPr>
        <w:t>擬邀請國外知名學者與國內研究人員針對</w:t>
      </w:r>
      <w:r>
        <w:rPr>
          <w:rFonts w:eastAsia="標楷體" w:hint="eastAsia"/>
        </w:rPr>
        <w:t>亞太地區二十一世紀素養發展</w:t>
      </w:r>
      <w:r w:rsidRPr="00173F80">
        <w:rPr>
          <w:rFonts w:eastAsia="標楷體" w:hint="eastAsia"/>
        </w:rPr>
        <w:t>進行專題演講，</w:t>
      </w:r>
      <w:r>
        <w:rPr>
          <w:rFonts w:eastAsia="標楷體" w:hint="eastAsia"/>
        </w:rPr>
        <w:t>旨</w:t>
      </w:r>
      <w:r w:rsidRPr="00173F80">
        <w:rPr>
          <w:rFonts w:eastAsia="標楷體" w:hint="eastAsia"/>
        </w:rPr>
        <w:t>在國內外研究經驗的分享與創造跨國合作的機會。目前已確認擔任主題演講之</w:t>
      </w:r>
      <w:r>
        <w:rPr>
          <w:rFonts w:eastAsia="標楷體" w:hAnsi="標楷體" w:hint="eastAsia"/>
        </w:rPr>
        <w:t>國內講者為中央研究院曾志朗院士，</w:t>
      </w:r>
      <w:r w:rsidRPr="00173F80">
        <w:rPr>
          <w:rFonts w:eastAsia="標楷體" w:hAnsi="標楷體" w:hint="eastAsia"/>
        </w:rPr>
        <w:t>國外講者為</w:t>
      </w:r>
      <w:r>
        <w:rPr>
          <w:rFonts w:eastAsia="標楷體" w:hAnsi="標楷體" w:hint="eastAsia"/>
        </w:rPr>
        <w:t>香港公開大學李榮安副校長</w:t>
      </w:r>
      <w:r w:rsidRPr="007615FA">
        <w:rPr>
          <w:rFonts w:eastAsia="標楷體" w:hAnsi="標楷體" w:hint="eastAsia"/>
        </w:rPr>
        <w:t>，茲羅列講者簡歷如下（</w:t>
      </w:r>
      <w:r>
        <w:rPr>
          <w:rFonts w:eastAsia="標楷體" w:hAnsi="標楷體" w:hint="eastAsia"/>
        </w:rPr>
        <w:t>講者履歷請參附件</w:t>
      </w:r>
      <w:r w:rsidRPr="007615FA">
        <w:rPr>
          <w:rFonts w:eastAsia="標楷體" w:hAnsi="標楷體" w:hint="eastAsia"/>
        </w:rPr>
        <w:t>）。</w:t>
      </w:r>
    </w:p>
    <w:p w:rsidR="00FC0D5F" w:rsidRPr="003B241C" w:rsidRDefault="00FC0D5F" w:rsidP="00F80933">
      <w:pPr>
        <w:pStyle w:val="ListParagraph"/>
        <w:numPr>
          <w:ilvl w:val="0"/>
          <w:numId w:val="4"/>
        </w:numPr>
        <w:spacing w:afterLines="50" w:line="400" w:lineRule="exact"/>
        <w:ind w:leftChars="0"/>
        <w:jc w:val="both"/>
        <w:rPr>
          <w:rFonts w:eastAsia="標楷體"/>
        </w:rPr>
      </w:pPr>
      <w:r w:rsidRPr="003B241C">
        <w:rPr>
          <w:rFonts w:eastAsia="標楷體" w:hint="eastAsia"/>
          <w:b/>
        </w:rPr>
        <w:t>曾志朗院士</w:t>
      </w:r>
      <w:r w:rsidRPr="003B241C">
        <w:rPr>
          <w:rFonts w:eastAsia="標楷體"/>
          <w:b/>
        </w:rPr>
        <w:t xml:space="preserve"> </w:t>
      </w:r>
    </w:p>
    <w:p w:rsidR="00FC0D5F" w:rsidRDefault="00FC0D5F" w:rsidP="00F80933">
      <w:pPr>
        <w:spacing w:afterLines="50" w:line="400" w:lineRule="exact"/>
        <w:ind w:firstLineChars="200" w:firstLine="480"/>
        <w:jc w:val="both"/>
        <w:rPr>
          <w:rFonts w:eastAsia="標楷體" w:hAnsi="標楷體"/>
        </w:rPr>
      </w:pPr>
      <w:r w:rsidRPr="00431025">
        <w:rPr>
          <w:rFonts w:eastAsia="標楷體" w:hAnsi="標楷體" w:hint="eastAsia"/>
        </w:rPr>
        <w:t>第一位講者</w:t>
      </w:r>
      <w:r>
        <w:rPr>
          <w:rFonts w:eastAsia="標楷體" w:hAnsi="標楷體" w:hint="eastAsia"/>
        </w:rPr>
        <w:t>為</w:t>
      </w:r>
      <w:r w:rsidRPr="00431025">
        <w:rPr>
          <w:rFonts w:eastAsia="標楷體" w:hAnsi="標楷體" w:hint="eastAsia"/>
        </w:rPr>
        <w:t>曾志朗教授</w:t>
      </w:r>
      <w:r>
        <w:rPr>
          <w:rFonts w:eastAsia="標楷體" w:hAnsi="標楷體" w:hint="eastAsia"/>
        </w:rPr>
        <w:t>，亦</w:t>
      </w:r>
      <w:r w:rsidRPr="00431025">
        <w:rPr>
          <w:rFonts w:eastAsia="標楷體" w:hAnsi="標楷體" w:hint="eastAsia"/>
        </w:rPr>
        <w:t>為中央研究院院士，目前為中研院語言學研究所特聘研究員。曾院士</w:t>
      </w:r>
      <w:r>
        <w:rPr>
          <w:rFonts w:eastAsia="標楷體" w:hAnsi="標楷體" w:hint="eastAsia"/>
        </w:rPr>
        <w:t>目前亦</w:t>
      </w:r>
      <w:r w:rsidRPr="00431025">
        <w:rPr>
          <w:rFonts w:eastAsia="標楷體" w:hAnsi="標楷體" w:hint="eastAsia"/>
        </w:rPr>
        <w:t>主持教育部「提升國民素養實施方案」</w:t>
      </w:r>
      <w:r>
        <w:rPr>
          <w:rFonts w:eastAsia="標楷體" w:hAnsi="標楷體" w:hint="eastAsia"/>
        </w:rPr>
        <w:t>，此方案為配合十二年國民基本教育的實施，研討</w:t>
      </w:r>
      <w:r>
        <w:rPr>
          <w:rFonts w:eastAsia="標楷體" w:hAnsi="標楷體"/>
        </w:rPr>
        <w:t>18</w:t>
      </w:r>
      <w:r>
        <w:rPr>
          <w:rFonts w:eastAsia="標楷體" w:hAnsi="標楷體" w:hint="eastAsia"/>
        </w:rPr>
        <w:t>歲學生於接受十二年國民基本教育後的未來</w:t>
      </w:r>
      <w:r>
        <w:rPr>
          <w:rFonts w:eastAsia="標楷體" w:hAnsi="標楷體"/>
        </w:rPr>
        <w:t>10</w:t>
      </w:r>
      <w:r>
        <w:rPr>
          <w:rFonts w:eastAsia="標楷體" w:hAnsi="標楷體" w:hint="eastAsia"/>
        </w:rPr>
        <w:t>年，不論是在職場上或是繼續升學所需的基本能力</w:t>
      </w:r>
      <w:r>
        <w:rPr>
          <w:rFonts w:eastAsia="標楷體" w:hAnsi="標楷體"/>
        </w:rPr>
        <w:t>(</w:t>
      </w:r>
      <w:r>
        <w:rPr>
          <w:rFonts w:eastAsia="標楷體" w:hAnsi="標楷體" w:hint="eastAsia"/>
        </w:rPr>
        <w:t>國民素養</w:t>
      </w:r>
      <w:r>
        <w:rPr>
          <w:rFonts w:eastAsia="標楷體" w:hAnsi="標楷體"/>
        </w:rPr>
        <w:t>)</w:t>
      </w:r>
      <w:r>
        <w:rPr>
          <w:rFonts w:eastAsia="標楷體" w:hAnsi="標楷體" w:hint="eastAsia"/>
        </w:rPr>
        <w:t>。此專案發展我國的國民素養指標與內涵，包含語文素養、數學素養、科學素養、數位素養與教養</w:t>
      </w:r>
      <w:r>
        <w:rPr>
          <w:rFonts w:eastAsia="標楷體" w:hAnsi="標楷體"/>
        </w:rPr>
        <w:t>/</w:t>
      </w:r>
      <w:r>
        <w:rPr>
          <w:rFonts w:eastAsia="標楷體" w:hAnsi="標楷體" w:hint="eastAsia"/>
        </w:rPr>
        <w:t>美感素養，曾院士的演講將特別</w:t>
      </w:r>
      <w:r w:rsidRPr="00431025">
        <w:rPr>
          <w:rFonts w:eastAsia="標楷體" w:hAnsi="標楷體" w:hint="eastAsia"/>
        </w:rPr>
        <w:t>針對</w:t>
      </w:r>
      <w:r>
        <w:rPr>
          <w:rFonts w:eastAsia="標楷體" w:hAnsi="標楷體" w:hint="eastAsia"/>
        </w:rPr>
        <w:t>語文知能與素養的習得歷程發表演說，與國內及亞太地區學者、教師分享在教與學的過程中可如何提升學生之語文素養。</w:t>
      </w:r>
    </w:p>
    <w:p w:rsidR="00FC0D5F" w:rsidRPr="00173F80" w:rsidRDefault="00FC0D5F" w:rsidP="00F80933">
      <w:pPr>
        <w:pStyle w:val="ListParagraph"/>
        <w:numPr>
          <w:ilvl w:val="0"/>
          <w:numId w:val="4"/>
        </w:numPr>
        <w:spacing w:afterLines="50" w:line="400" w:lineRule="exact"/>
        <w:ind w:leftChars="0"/>
        <w:jc w:val="both"/>
        <w:rPr>
          <w:rFonts w:eastAsia="標楷體"/>
          <w:b/>
        </w:rPr>
      </w:pPr>
      <w:r>
        <w:rPr>
          <w:rFonts w:eastAsia="標楷體" w:hint="eastAsia"/>
          <w:b/>
        </w:rPr>
        <w:t>李榮安教授</w:t>
      </w:r>
      <w:r>
        <w:rPr>
          <w:rFonts w:eastAsia="標楷體"/>
          <w:b/>
        </w:rPr>
        <w:t xml:space="preserve"> (Professor Wing On Lee)</w:t>
      </w:r>
    </w:p>
    <w:p w:rsidR="00FC0D5F" w:rsidRPr="0037678B" w:rsidRDefault="00FC0D5F" w:rsidP="00F80933">
      <w:pPr>
        <w:pStyle w:val="ListParagraph"/>
        <w:spacing w:afterLines="50" w:line="400" w:lineRule="exact"/>
        <w:ind w:leftChars="0" w:left="0" w:firstLineChars="200" w:firstLine="480"/>
        <w:jc w:val="both"/>
        <w:rPr>
          <w:rFonts w:eastAsia="標楷體" w:hAnsi="標楷體"/>
        </w:rPr>
      </w:pPr>
      <w:r>
        <w:rPr>
          <w:rFonts w:eastAsia="標楷體" w:hAnsi="標楷體" w:hint="eastAsia"/>
        </w:rPr>
        <w:t>第二</w:t>
      </w:r>
      <w:r w:rsidRPr="00173F80">
        <w:rPr>
          <w:rFonts w:eastAsia="標楷體" w:hAnsi="標楷體" w:hint="eastAsia"/>
        </w:rPr>
        <w:t>位講者將</w:t>
      </w:r>
      <w:r>
        <w:rPr>
          <w:rFonts w:eastAsia="標楷體" w:hAnsi="標楷體" w:hint="eastAsia"/>
        </w:rPr>
        <w:t>針對亞太地區教育體系發展二十一世紀素養發表演說，講題暫定為“</w:t>
      </w:r>
      <w:r w:rsidRPr="00F0017B">
        <w:rPr>
          <w:color w:val="222222"/>
          <w:shd w:val="clear" w:color="auto" w:fill="FFFFFF"/>
        </w:rPr>
        <w:t>How 21</w:t>
      </w:r>
      <w:r w:rsidRPr="00F0017B">
        <w:rPr>
          <w:color w:val="222222"/>
          <w:shd w:val="clear" w:color="auto" w:fill="FFFFFF"/>
          <w:vertAlign w:val="superscript"/>
        </w:rPr>
        <w:t>st</w:t>
      </w:r>
      <w:r w:rsidRPr="00F0017B">
        <w:rPr>
          <w:rStyle w:val="apple-converted-space"/>
          <w:color w:val="222222"/>
          <w:shd w:val="clear" w:color="auto" w:fill="FFFFFF"/>
        </w:rPr>
        <w:t> </w:t>
      </w:r>
      <w:r w:rsidRPr="00F0017B">
        <w:rPr>
          <w:color w:val="222222"/>
          <w:shd w:val="clear" w:color="auto" w:fill="FFFFFF"/>
        </w:rPr>
        <w:t>Century Competences are Developed in East Asian Education Systems?</w:t>
      </w:r>
      <w:r>
        <w:rPr>
          <w:color w:val="222222"/>
          <w:shd w:val="clear" w:color="auto" w:fill="FFFFFF"/>
        </w:rPr>
        <w:t xml:space="preserve">” </w:t>
      </w:r>
      <w:r w:rsidRPr="00173F80">
        <w:rPr>
          <w:rFonts w:eastAsia="標楷體" w:hAnsi="標楷體" w:hint="eastAsia"/>
        </w:rPr>
        <w:t>來自</w:t>
      </w:r>
      <w:r>
        <w:rPr>
          <w:rFonts w:eastAsia="標楷體" w:hAnsi="標楷體" w:hint="eastAsia"/>
        </w:rPr>
        <w:t>香港的李榮安教授，具比較教育、公民教育與道德教育專業背景以及豐富的教育行政經驗，</w:t>
      </w:r>
      <w:r w:rsidRPr="00173F80">
        <w:rPr>
          <w:rFonts w:eastAsia="標楷體" w:hAnsi="標楷體" w:hint="eastAsia"/>
        </w:rPr>
        <w:t>目前為</w:t>
      </w:r>
      <w:r>
        <w:rPr>
          <w:rFonts w:eastAsia="標楷體" w:hAnsi="標楷體" w:hint="eastAsia"/>
        </w:rPr>
        <w:t>香港公開</w:t>
      </w:r>
      <w:r w:rsidRPr="003660D9">
        <w:rPr>
          <w:rFonts w:eastAsia="標楷體" w:hAnsi="標楷體" w:hint="eastAsia"/>
        </w:rPr>
        <w:t>大學</w:t>
      </w:r>
      <w:r w:rsidRPr="003660D9">
        <w:rPr>
          <w:rFonts w:eastAsia="標楷體" w:hAnsi="標楷體"/>
        </w:rPr>
        <w:t>(The Open University of Hong Kong)</w:t>
      </w:r>
      <w:r w:rsidRPr="003660D9">
        <w:rPr>
          <w:rFonts w:eastAsia="標楷體" w:hAnsi="標楷體" w:hint="eastAsia"/>
        </w:rPr>
        <w:t>副校長。</w:t>
      </w:r>
      <w:r>
        <w:rPr>
          <w:rFonts w:eastAsia="標楷體" w:hAnsi="標楷體" w:hint="eastAsia"/>
        </w:rPr>
        <w:t>李榮安教授曾擔任新加坡國立教育學院教育研究院院長，香港教育學院副較長與公民教育中心主任等，以及香港大學教育學院副院長、比較教育研究中心創始主任等。李教授亦曾受邀至澳洲雪梨大學任教與評論澳洲課程發展學會課程領域所出版的公民教育資料。本論壇主辦單位期能藉由李榮安教授對於亞太地區國家素養取向的課程發展之觀察與研究，使我國能</w:t>
      </w:r>
      <w:r w:rsidRPr="0091561D">
        <w:rPr>
          <w:rFonts w:eastAsia="標楷體" w:hAnsi="標楷體" w:hint="eastAsia"/>
        </w:rPr>
        <w:t>掌握亞太地區國家素養發展</w:t>
      </w:r>
      <w:r>
        <w:rPr>
          <w:rFonts w:eastAsia="標楷體" w:hAnsi="標楷體" w:hint="eastAsia"/>
        </w:rPr>
        <w:t>之</w:t>
      </w:r>
      <w:r w:rsidRPr="0091561D">
        <w:rPr>
          <w:rFonts w:eastAsia="標楷體" w:hAnsi="標楷體" w:hint="eastAsia"/>
        </w:rPr>
        <w:t>趨勢</w:t>
      </w:r>
      <w:r>
        <w:rPr>
          <w:rFonts w:eastAsia="標楷體" w:hAnsi="標楷體" w:hint="eastAsia"/>
        </w:rPr>
        <w:t>，並藉之作為深化我國國民素養研究與實施之參考。</w:t>
      </w:r>
    </w:p>
    <w:p w:rsidR="00FC0D5F" w:rsidRPr="00173F80" w:rsidRDefault="00FC0D5F" w:rsidP="00F80933">
      <w:pPr>
        <w:pStyle w:val="ListParagraph"/>
        <w:numPr>
          <w:ilvl w:val="0"/>
          <w:numId w:val="2"/>
        </w:numPr>
        <w:spacing w:beforeLines="50" w:afterLines="50" w:line="400" w:lineRule="exact"/>
        <w:ind w:leftChars="0"/>
        <w:jc w:val="both"/>
        <w:rPr>
          <w:rFonts w:eastAsia="標楷體"/>
          <w:b/>
        </w:rPr>
      </w:pPr>
      <w:r w:rsidRPr="00173F80">
        <w:rPr>
          <w:rFonts w:eastAsia="標楷體" w:hAnsi="標楷體" w:hint="eastAsia"/>
          <w:b/>
        </w:rPr>
        <w:t>專題論壇</w:t>
      </w:r>
      <w:r>
        <w:rPr>
          <w:rFonts w:eastAsia="標楷體" w:hAnsi="標楷體" w:hint="eastAsia"/>
          <w:b/>
        </w:rPr>
        <w:t>與經驗分享</w:t>
      </w:r>
    </w:p>
    <w:p w:rsidR="00FC0D5F" w:rsidRDefault="00FC0D5F" w:rsidP="00F80933">
      <w:pPr>
        <w:pStyle w:val="ListParagraph"/>
        <w:spacing w:afterLines="50" w:line="400" w:lineRule="exact"/>
        <w:ind w:leftChars="0" w:left="0" w:firstLineChars="200" w:firstLine="480"/>
        <w:jc w:val="both"/>
        <w:rPr>
          <w:rFonts w:eastAsia="標楷體" w:hAnsi="標楷體"/>
        </w:rPr>
      </w:pPr>
      <w:r w:rsidRPr="00173F80">
        <w:rPr>
          <w:rFonts w:eastAsia="標楷體" w:hAnsi="標楷體" w:hint="eastAsia"/>
        </w:rPr>
        <w:t>預計辦理</w:t>
      </w:r>
      <w:r>
        <w:rPr>
          <w:rFonts w:eastAsia="標楷體" w:hAnsi="標楷體" w:hint="eastAsia"/>
        </w:rPr>
        <w:t>二</w:t>
      </w:r>
      <w:r w:rsidRPr="00173F80">
        <w:rPr>
          <w:rFonts w:eastAsia="標楷體" w:hAnsi="標楷體" w:hint="eastAsia"/>
        </w:rPr>
        <w:t>場</w:t>
      </w:r>
      <w:r>
        <w:rPr>
          <w:rFonts w:eastAsia="標楷體" w:hAnsi="標楷體" w:hint="eastAsia"/>
        </w:rPr>
        <w:t>圓桌</w:t>
      </w:r>
      <w:r w:rsidRPr="00173F80">
        <w:rPr>
          <w:rFonts w:eastAsia="標楷體" w:hAnsi="標楷體" w:hint="eastAsia"/>
        </w:rPr>
        <w:t>論壇，</w:t>
      </w:r>
      <w:r>
        <w:rPr>
          <w:rFonts w:eastAsia="標楷體" w:hAnsi="標楷體" w:hint="eastAsia"/>
        </w:rPr>
        <w:t>擬</w:t>
      </w:r>
      <w:r w:rsidRPr="00173F80">
        <w:rPr>
          <w:rFonts w:eastAsia="標楷體" w:hAnsi="標楷體" w:hint="eastAsia"/>
        </w:rPr>
        <w:t>邀請</w:t>
      </w:r>
      <w:r>
        <w:rPr>
          <w:rFonts w:eastAsia="標楷體" w:hAnsi="標楷體" w:hint="eastAsia"/>
        </w:rPr>
        <w:t>國內外素養發展相關領域學者就二個主題進行討論，第一場論壇將討論「素養」與不同「能力」詞彙的定義與內涵，國外的素養發展使用不同的詞彙，如</w:t>
      </w:r>
      <w:r>
        <w:rPr>
          <w:rFonts w:eastAsia="標楷體" w:hAnsi="標楷體"/>
        </w:rPr>
        <w:t>competency, literacy</w:t>
      </w:r>
      <w:r>
        <w:rPr>
          <w:rFonts w:eastAsia="標楷體" w:hAnsi="標楷體" w:hint="eastAsia"/>
        </w:rPr>
        <w:t>與</w:t>
      </w:r>
      <w:r>
        <w:rPr>
          <w:rFonts w:eastAsia="標楷體" w:hAnsi="標楷體"/>
        </w:rPr>
        <w:t>citizenship</w:t>
      </w:r>
      <w:r>
        <w:rPr>
          <w:rFonts w:eastAsia="標楷體" w:hAnsi="標楷體" w:hint="eastAsia"/>
        </w:rPr>
        <w:t>等，指涉不同的意涵，國內十二年國教總綱使用「素養」一詞含括知識、技能與態度；而「提升國民素養實施方案」使用知能</w:t>
      </w:r>
      <w:r>
        <w:rPr>
          <w:rFonts w:eastAsia="標楷體" w:hAnsi="標楷體"/>
        </w:rPr>
        <w:t>(literacy)</w:t>
      </w:r>
      <w:r>
        <w:rPr>
          <w:rFonts w:eastAsia="標楷體" w:hAnsi="標楷體" w:hint="eastAsia"/>
        </w:rPr>
        <w:t>來解釋我國</w:t>
      </w:r>
      <w:r>
        <w:rPr>
          <w:rFonts w:eastAsia="標楷體" w:hAnsi="標楷體"/>
        </w:rPr>
        <w:t>18</w:t>
      </w:r>
      <w:r>
        <w:rPr>
          <w:rFonts w:eastAsia="標楷體" w:hAnsi="標楷體" w:hint="eastAsia"/>
        </w:rPr>
        <w:t>歲國民在職場或專業學習上所須具備的基本能力，因此期能藉由此圓桌討論，釐清各個詞彙的定義與意涵，包含「素養」一詞的意義，以利於推動素養相關的概念與實施。</w:t>
      </w:r>
    </w:p>
    <w:p w:rsidR="00FC0D5F" w:rsidRDefault="00FC0D5F" w:rsidP="00F80933">
      <w:pPr>
        <w:pStyle w:val="ListParagraph"/>
        <w:spacing w:afterLines="50" w:line="400" w:lineRule="exact"/>
        <w:ind w:leftChars="0" w:left="0" w:firstLineChars="200" w:firstLine="480"/>
        <w:jc w:val="both"/>
        <w:rPr>
          <w:rFonts w:eastAsia="標楷體" w:hAnsi="標楷體"/>
        </w:rPr>
      </w:pPr>
      <w:r>
        <w:rPr>
          <w:rFonts w:eastAsia="標楷體" w:hAnsi="標楷體" w:hint="eastAsia"/>
        </w:rPr>
        <w:t>十二年國教總綱所訂的核心素養需要透過學習而養成，課程設計與教學於是扮演重要的角色，另一方面，透過評量也才能確保學生在接受十二年國教之後具備了職場、專業學習，與終身學習的知識、技能與態度。因此，</w:t>
      </w:r>
      <w:r w:rsidRPr="002C2B5C">
        <w:rPr>
          <w:rFonts w:eastAsia="標楷體" w:hAnsi="標楷體" w:hint="eastAsia"/>
        </w:rPr>
        <w:t>第二場將討論素養的評量與實施相關議題</w:t>
      </w:r>
      <w:r>
        <w:rPr>
          <w:rFonts w:eastAsia="標楷體" w:hAnsi="標楷體" w:hint="eastAsia"/>
        </w:rPr>
        <w:t>，提供各國調整素養發展與實施的方向。</w:t>
      </w:r>
    </w:p>
    <w:p w:rsidR="00FC0D5F" w:rsidRDefault="00FC0D5F" w:rsidP="00B06C8C">
      <w:pPr>
        <w:tabs>
          <w:tab w:val="left" w:pos="960"/>
        </w:tabs>
        <w:spacing w:after="50" w:line="400" w:lineRule="exact"/>
        <w:ind w:firstLineChars="226" w:firstLine="542"/>
        <w:jc w:val="both"/>
        <w:rPr>
          <w:rFonts w:ascii="Times New Roman" w:eastAsia="標楷體" w:hAnsi="標楷體"/>
        </w:rPr>
      </w:pPr>
      <w:r w:rsidRPr="00887A02">
        <w:rPr>
          <w:rFonts w:ascii="Times New Roman" w:eastAsia="標楷體" w:hAnsi="標楷體" w:hint="eastAsia"/>
        </w:rPr>
        <w:t>本論壇</w:t>
      </w:r>
      <w:r>
        <w:rPr>
          <w:rFonts w:ascii="Times New Roman" w:eastAsia="標楷體" w:hAnsi="標楷體" w:hint="eastAsia"/>
        </w:rPr>
        <w:t>也將邀請</w:t>
      </w:r>
      <w:r w:rsidRPr="00887A02">
        <w:rPr>
          <w:rFonts w:ascii="Times New Roman" w:eastAsia="標楷體" w:hAnsi="標楷體" w:hint="eastAsia"/>
        </w:rPr>
        <w:t>國內外學者分享</w:t>
      </w:r>
      <w:r>
        <w:rPr>
          <w:rFonts w:ascii="Times New Roman" w:eastAsia="標楷體" w:hAnsi="標楷體" w:hint="eastAsia"/>
        </w:rPr>
        <w:t>各</w:t>
      </w:r>
      <w:r w:rsidRPr="00887A02">
        <w:rPr>
          <w:rFonts w:ascii="Times New Roman" w:eastAsia="標楷體" w:hAnsi="標楷體" w:hint="eastAsia"/>
        </w:rPr>
        <w:t>國發展二十一世紀素養的經驗，</w:t>
      </w:r>
      <w:r>
        <w:rPr>
          <w:rFonts w:ascii="Times New Roman" w:eastAsia="標楷體" w:hAnsi="標楷體" w:hint="eastAsia"/>
        </w:rPr>
        <w:t>包含發展脈絡、現況、成就與挑戰，有助於我國汲取各國寶貴的經驗來提升國民素養的實施與研究，促進未來跨國合作的機會。</w:t>
      </w:r>
    </w:p>
    <w:p w:rsidR="00FC0D5F" w:rsidRPr="00745AF4" w:rsidRDefault="00FC0D5F" w:rsidP="00B06C8C">
      <w:pPr>
        <w:tabs>
          <w:tab w:val="left" w:pos="960"/>
        </w:tabs>
        <w:spacing w:after="50" w:line="400" w:lineRule="exact"/>
        <w:ind w:firstLineChars="226" w:firstLine="542"/>
        <w:jc w:val="both"/>
        <w:rPr>
          <w:rFonts w:eastAsia="標楷體" w:hAnsi="標楷體"/>
        </w:rPr>
      </w:pPr>
      <w:r>
        <w:rPr>
          <w:rFonts w:eastAsia="標楷體" w:hAnsi="標楷體" w:hint="eastAsia"/>
        </w:rPr>
        <w:t>擬邀請之國內學者包含教育部「提升國民素養實施方案」主持人曾志朗院士與共同主持人李俊仁教授，國外知名學者包括香港大學程介明教授，以及來自</w:t>
      </w:r>
      <w:r w:rsidRPr="00553529">
        <w:rPr>
          <w:rFonts w:eastAsia="標楷體" w:hAnsi="標楷體" w:hint="eastAsia"/>
        </w:rPr>
        <w:t>香港、新加坡、日本與韓國</w:t>
      </w:r>
      <w:r>
        <w:rPr>
          <w:rFonts w:eastAsia="標楷體" w:hAnsi="標楷體" w:hint="eastAsia"/>
        </w:rPr>
        <w:t>等國的學者。</w:t>
      </w:r>
      <w:r w:rsidRPr="007615FA">
        <w:rPr>
          <w:rFonts w:eastAsia="標楷體" w:hAnsi="標楷體" w:hint="eastAsia"/>
        </w:rPr>
        <w:t>茲羅列講者</w:t>
      </w:r>
      <w:r>
        <w:rPr>
          <w:rFonts w:eastAsia="標楷體" w:hAnsi="標楷體" w:hint="eastAsia"/>
        </w:rPr>
        <w:t>及與談人</w:t>
      </w:r>
      <w:r w:rsidRPr="007615FA">
        <w:rPr>
          <w:rFonts w:eastAsia="標楷體" w:hAnsi="標楷體" w:hint="eastAsia"/>
        </w:rPr>
        <w:t>簡歷如下（</w:t>
      </w:r>
      <w:r>
        <w:rPr>
          <w:rFonts w:eastAsia="標楷體" w:hAnsi="標楷體" w:hint="eastAsia"/>
        </w:rPr>
        <w:t>依場次順序排列，講者履歷請參附件</w:t>
      </w:r>
      <w:r w:rsidRPr="007615FA">
        <w:rPr>
          <w:rFonts w:eastAsia="標楷體" w:hAnsi="標楷體" w:hint="eastAsia"/>
        </w:rPr>
        <w:t>）</w:t>
      </w:r>
      <w:r>
        <w:rPr>
          <w:rFonts w:eastAsia="標楷體" w:hAnsi="標楷體" w:hint="eastAsia"/>
        </w:rPr>
        <w:t>。</w:t>
      </w:r>
    </w:p>
    <w:p w:rsidR="00FC0D5F" w:rsidRDefault="00FC0D5F" w:rsidP="00F80933">
      <w:pPr>
        <w:pStyle w:val="ListParagraph"/>
        <w:numPr>
          <w:ilvl w:val="0"/>
          <w:numId w:val="5"/>
        </w:numPr>
        <w:spacing w:afterLines="50" w:line="400" w:lineRule="exact"/>
        <w:ind w:leftChars="0"/>
        <w:jc w:val="both"/>
        <w:rPr>
          <w:rFonts w:eastAsia="標楷體" w:hAnsi="標楷體"/>
          <w:b/>
        </w:rPr>
      </w:pPr>
      <w:r w:rsidRPr="00085C6C">
        <w:rPr>
          <w:rFonts w:eastAsia="標楷體" w:hAnsi="標楷體" w:hint="eastAsia"/>
          <w:b/>
        </w:rPr>
        <w:t>程介明教授</w:t>
      </w:r>
      <w:r w:rsidRPr="00085C6C">
        <w:rPr>
          <w:rFonts w:eastAsia="標楷體" w:hAnsi="標楷體"/>
          <w:b/>
        </w:rPr>
        <w:t xml:space="preserve"> (Professor Ka</w:t>
      </w:r>
      <w:r>
        <w:rPr>
          <w:rFonts w:eastAsia="標楷體" w:hAnsi="標楷體"/>
          <w:b/>
        </w:rPr>
        <w:t xml:space="preserve">i-ming </w:t>
      </w:r>
      <w:r w:rsidRPr="00085C6C">
        <w:rPr>
          <w:rFonts w:eastAsia="標楷體" w:hAnsi="標楷體"/>
          <w:b/>
        </w:rPr>
        <w:t>Cheng)</w:t>
      </w:r>
    </w:p>
    <w:p w:rsidR="00FC0D5F" w:rsidRDefault="00FC0D5F" w:rsidP="00F80933">
      <w:pPr>
        <w:spacing w:afterLines="50" w:line="400" w:lineRule="exact"/>
        <w:ind w:firstLineChars="200" w:firstLine="480"/>
        <w:jc w:val="both"/>
        <w:rPr>
          <w:rFonts w:ascii="Times New Roman" w:eastAsia="標楷體" w:hAnsi="Times New Roman"/>
          <w:szCs w:val="24"/>
        </w:rPr>
      </w:pPr>
      <w:r>
        <w:rPr>
          <w:rFonts w:eastAsia="標楷體" w:hAnsi="標楷體" w:hint="eastAsia"/>
        </w:rPr>
        <w:t>程介明教授將擔任</w:t>
      </w:r>
      <w:r w:rsidRPr="002C7671">
        <w:rPr>
          <w:rFonts w:eastAsia="標楷體" w:hAnsi="標楷體" w:hint="eastAsia"/>
        </w:rPr>
        <w:t>第一場圓桌論壇</w:t>
      </w:r>
      <w:r>
        <w:rPr>
          <w:rFonts w:eastAsia="標楷體" w:hAnsi="標楷體" w:hint="eastAsia"/>
        </w:rPr>
        <w:t>之與談人與</w:t>
      </w:r>
      <w:r w:rsidRPr="002C7671">
        <w:rPr>
          <w:rFonts w:eastAsia="標楷體" w:hAnsi="標楷體" w:hint="eastAsia"/>
        </w:rPr>
        <w:t>第二場圓桌論壇之引言人。程介明教授</w:t>
      </w:r>
      <w:r>
        <w:rPr>
          <w:rFonts w:eastAsia="標楷體" w:hAnsi="標楷體" w:hint="eastAsia"/>
        </w:rPr>
        <w:t>具有教育行政、規劃與政策分析之專業背景，目前為香港大學栢立基學院院長與教育政策研究中心主任。</w:t>
      </w:r>
      <w:r w:rsidRPr="00546F4F">
        <w:rPr>
          <w:rFonts w:eastAsia="標楷體" w:hAnsi="標楷體" w:hint="eastAsia"/>
          <w:color w:val="000000"/>
        </w:rPr>
        <w:t>程教授</w:t>
      </w:r>
      <w:r>
        <w:rPr>
          <w:rFonts w:eastAsia="標楷體" w:hAnsi="標楷體" w:hint="eastAsia"/>
          <w:color w:val="000000"/>
        </w:rPr>
        <w:t>曾</w:t>
      </w:r>
      <w:r w:rsidRPr="00546F4F">
        <w:rPr>
          <w:rFonts w:eastAsia="標楷體" w:hAnsi="標楷體" w:hint="eastAsia"/>
          <w:color w:val="000000"/>
        </w:rPr>
        <w:t>擔任數個國際組織</w:t>
      </w:r>
      <w:r>
        <w:rPr>
          <w:rFonts w:eastAsia="標楷體" w:hAnsi="標楷體" w:hint="eastAsia"/>
          <w:color w:val="000000"/>
        </w:rPr>
        <w:t>之</w:t>
      </w:r>
      <w:r w:rsidRPr="00546F4F">
        <w:rPr>
          <w:rFonts w:eastAsia="標楷體" w:hAnsi="標楷體" w:hint="eastAsia"/>
          <w:color w:val="000000"/>
        </w:rPr>
        <w:t>研究顧問，</w:t>
      </w:r>
      <w:r w:rsidRPr="00546F4F">
        <w:rPr>
          <w:rFonts w:ascii="Times New Roman" w:eastAsia="標楷體" w:hAnsi="Times New Roman" w:hint="eastAsia"/>
          <w:color w:val="000000"/>
          <w:szCs w:val="24"/>
        </w:rPr>
        <w:t>包括</w:t>
      </w:r>
      <w:r w:rsidRPr="008F2B2E">
        <w:rPr>
          <w:rFonts w:ascii="Times New Roman" w:eastAsia="標楷體" w:hAnsi="Times New Roman" w:hint="eastAsia"/>
          <w:szCs w:val="24"/>
        </w:rPr>
        <w:t>世界銀行</w:t>
      </w:r>
      <w:r w:rsidRPr="008F2B2E">
        <w:rPr>
          <w:rFonts w:ascii="Times New Roman" w:eastAsia="標楷體" w:hAnsi="Times New Roman"/>
          <w:szCs w:val="24"/>
        </w:rPr>
        <w:t>(World Bank)</w:t>
      </w:r>
      <w:r w:rsidRPr="008F2B2E">
        <w:rPr>
          <w:rFonts w:ascii="Times New Roman" w:eastAsia="標楷體" w:hAnsi="Times New Roman" w:hint="eastAsia"/>
          <w:szCs w:val="24"/>
        </w:rPr>
        <w:t>、經濟合作發展組織</w:t>
      </w:r>
      <w:r w:rsidRPr="008F2B2E">
        <w:rPr>
          <w:rFonts w:ascii="Times New Roman" w:eastAsia="標楷體" w:hAnsi="Times New Roman"/>
          <w:szCs w:val="24"/>
        </w:rPr>
        <w:t>(OECD)</w:t>
      </w:r>
      <w:r w:rsidRPr="008F2B2E">
        <w:rPr>
          <w:rFonts w:ascii="Times New Roman" w:eastAsia="標楷體" w:hAnsi="Times New Roman" w:hint="eastAsia"/>
          <w:szCs w:val="24"/>
        </w:rPr>
        <w:t>、亞洲開發銀行</w:t>
      </w:r>
      <w:r w:rsidRPr="008F2B2E">
        <w:rPr>
          <w:rFonts w:ascii="Times New Roman" w:eastAsia="標楷體" w:hAnsi="Times New Roman"/>
          <w:szCs w:val="24"/>
        </w:rPr>
        <w:t>(Asian Development Bank)</w:t>
      </w:r>
      <w:r w:rsidRPr="008F2B2E">
        <w:rPr>
          <w:rFonts w:ascii="Times New Roman" w:eastAsia="標楷體" w:hAnsi="Times New Roman" w:hint="eastAsia"/>
          <w:szCs w:val="24"/>
        </w:rPr>
        <w:t>、聯合國教育科學及文化組織</w:t>
      </w:r>
      <w:r w:rsidRPr="008F2B2E">
        <w:rPr>
          <w:rFonts w:ascii="Times New Roman" w:eastAsia="標楷體" w:hAnsi="Times New Roman"/>
          <w:szCs w:val="24"/>
        </w:rPr>
        <w:t>(UNESCO)</w:t>
      </w:r>
      <w:r w:rsidRPr="008F2B2E">
        <w:rPr>
          <w:rFonts w:ascii="Times New Roman" w:eastAsia="標楷體" w:hAnsi="Times New Roman" w:hint="eastAsia"/>
          <w:szCs w:val="24"/>
        </w:rPr>
        <w:t>，聯合國兒童基金會</w:t>
      </w:r>
      <w:r w:rsidRPr="008F2B2E">
        <w:rPr>
          <w:rFonts w:ascii="Times New Roman" w:eastAsia="標楷體" w:hAnsi="Times New Roman"/>
          <w:szCs w:val="24"/>
        </w:rPr>
        <w:t>(UNICEF)</w:t>
      </w:r>
      <w:r w:rsidRPr="008F2B2E">
        <w:rPr>
          <w:rFonts w:ascii="Times New Roman" w:eastAsia="標楷體" w:hAnsi="Times New Roman" w:hint="eastAsia"/>
          <w:szCs w:val="24"/>
        </w:rPr>
        <w:t>等</w:t>
      </w:r>
      <w:r>
        <w:rPr>
          <w:rFonts w:ascii="Times New Roman" w:eastAsia="標楷體" w:hAnsi="Times New Roman" w:hint="eastAsia"/>
          <w:szCs w:val="24"/>
        </w:rPr>
        <w:t>，具國際視野及豐富的跨國研究經驗。</w:t>
      </w:r>
    </w:p>
    <w:p w:rsidR="00FC0D5F" w:rsidRDefault="00FC0D5F" w:rsidP="00F80933">
      <w:pPr>
        <w:spacing w:afterLines="50" w:line="400" w:lineRule="exact"/>
        <w:ind w:firstLineChars="200" w:firstLine="480"/>
        <w:jc w:val="both"/>
        <w:rPr>
          <w:rFonts w:ascii="Times New Roman" w:eastAsia="標楷體" w:hAnsi="Times New Roman"/>
          <w:szCs w:val="24"/>
        </w:rPr>
      </w:pPr>
    </w:p>
    <w:p w:rsidR="00FC0D5F" w:rsidRDefault="00FC0D5F" w:rsidP="00F80933">
      <w:pPr>
        <w:pStyle w:val="ListParagraph"/>
        <w:numPr>
          <w:ilvl w:val="0"/>
          <w:numId w:val="5"/>
        </w:numPr>
        <w:spacing w:afterLines="50" w:line="400" w:lineRule="exact"/>
        <w:ind w:leftChars="0"/>
        <w:jc w:val="both"/>
        <w:rPr>
          <w:rFonts w:eastAsia="標楷體" w:hAnsi="標楷體"/>
          <w:b/>
        </w:rPr>
      </w:pPr>
      <w:r>
        <w:rPr>
          <w:rFonts w:eastAsia="標楷體" w:hAnsi="標楷體"/>
          <w:b/>
        </w:rPr>
        <w:t>Dr. Liz Jackson</w:t>
      </w:r>
    </w:p>
    <w:p w:rsidR="00FC0D5F" w:rsidRDefault="00FC0D5F" w:rsidP="00F80933">
      <w:pPr>
        <w:pStyle w:val="ListParagraph"/>
        <w:spacing w:afterLines="50" w:line="400" w:lineRule="exact"/>
        <w:ind w:leftChars="0" w:left="0" w:firstLineChars="200" w:firstLine="480"/>
        <w:jc w:val="both"/>
        <w:rPr>
          <w:rFonts w:eastAsia="標楷體" w:hAnsi="標楷體"/>
        </w:rPr>
      </w:pPr>
      <w:r>
        <w:rPr>
          <w:rFonts w:eastAsia="標楷體" w:hAnsi="標楷體"/>
        </w:rPr>
        <w:t>Dr. Jackson</w:t>
      </w:r>
      <w:r>
        <w:rPr>
          <w:rFonts w:eastAsia="標楷體" w:hAnsi="標楷體" w:hint="eastAsia"/>
        </w:rPr>
        <w:t>為</w:t>
      </w:r>
      <w:r w:rsidRPr="00A74C93">
        <w:rPr>
          <w:rFonts w:eastAsia="標楷體" w:hAnsi="標楷體" w:hint="eastAsia"/>
        </w:rPr>
        <w:t>香港大學教育學院</w:t>
      </w:r>
      <w:r>
        <w:rPr>
          <w:rFonts w:eastAsia="標楷體" w:hAnsi="標楷體" w:hint="eastAsia"/>
        </w:rPr>
        <w:t>助理教授，目前共同主持亞洲學會「亞洲教育系統二十一世紀素養」計畫，</w:t>
      </w:r>
      <w:r>
        <w:rPr>
          <w:rFonts w:eastAsia="標楷體" w:hAnsi="標楷體"/>
        </w:rPr>
        <w:t xml:space="preserve">Dr. Jackson </w:t>
      </w:r>
      <w:r>
        <w:rPr>
          <w:rFonts w:eastAsia="標楷體" w:hAnsi="標楷體" w:hint="eastAsia"/>
        </w:rPr>
        <w:t>將在此論壇發表香港地區二十一世紀素養的發展與挑戰，也將在第一場圓桌論壇擔任與談人。</w:t>
      </w:r>
    </w:p>
    <w:p w:rsidR="00FC0D5F" w:rsidRPr="00F72F57" w:rsidRDefault="00FC0D5F" w:rsidP="00F80933">
      <w:pPr>
        <w:pStyle w:val="ListParagraph"/>
        <w:numPr>
          <w:ilvl w:val="0"/>
          <w:numId w:val="5"/>
        </w:numPr>
        <w:spacing w:afterLines="50" w:line="400" w:lineRule="exact"/>
        <w:ind w:leftChars="0"/>
        <w:jc w:val="both"/>
        <w:rPr>
          <w:rFonts w:eastAsia="標楷體" w:hAnsi="標楷體"/>
          <w:b/>
        </w:rPr>
      </w:pPr>
      <w:r>
        <w:rPr>
          <w:b/>
        </w:rPr>
        <w:t xml:space="preserve">Dr. </w:t>
      </w:r>
      <w:r w:rsidRPr="00F72F57">
        <w:rPr>
          <w:b/>
        </w:rPr>
        <w:t>Daisuke Kimura</w:t>
      </w:r>
    </w:p>
    <w:p w:rsidR="00FC0D5F" w:rsidRDefault="00FC0D5F" w:rsidP="00F80933">
      <w:pPr>
        <w:pStyle w:val="ListParagraph"/>
        <w:spacing w:afterLines="50" w:line="400" w:lineRule="exact"/>
        <w:ind w:leftChars="0" w:left="0" w:firstLineChars="200" w:firstLine="480"/>
        <w:jc w:val="both"/>
        <w:rPr>
          <w:rFonts w:eastAsia="標楷體" w:hAnsi="標楷體"/>
        </w:rPr>
      </w:pPr>
      <w:r w:rsidRPr="0072258B">
        <w:rPr>
          <w:rFonts w:eastAsia="標楷體" w:hAnsi="標楷體"/>
        </w:rPr>
        <w:t xml:space="preserve">Dr. </w:t>
      </w:r>
      <w:r>
        <w:rPr>
          <w:rFonts w:eastAsia="標楷體" w:hAnsi="標楷體"/>
        </w:rPr>
        <w:t>Kimura</w:t>
      </w:r>
      <w:r>
        <w:rPr>
          <w:rFonts w:eastAsia="標楷體" w:hAnsi="標楷體" w:hint="eastAsia"/>
        </w:rPr>
        <w:t>為日本非政府組織</w:t>
      </w:r>
      <w:r>
        <w:rPr>
          <w:rFonts w:eastAsia="標楷體" w:hAnsi="標楷體"/>
        </w:rPr>
        <w:t>Global Incubation*Fostering Talents (GiFT)</w:t>
      </w:r>
      <w:r>
        <w:rPr>
          <w:rFonts w:eastAsia="標楷體" w:hAnsi="標楷體" w:hint="eastAsia"/>
        </w:rPr>
        <w:t>研究人員，推動全球教育與多元文化。</w:t>
      </w:r>
      <w:r>
        <w:rPr>
          <w:rFonts w:eastAsia="標楷體" w:hAnsi="標楷體"/>
        </w:rPr>
        <w:t>Dr. Kimura</w:t>
      </w:r>
      <w:r>
        <w:rPr>
          <w:rFonts w:eastAsia="標楷體" w:hAnsi="標楷體" w:hint="eastAsia"/>
        </w:rPr>
        <w:t>將於此論壇分享日本發展二十一世紀素養的經驗與挑戰，也將在第二場圓桌論壇擔任與談人。</w:t>
      </w:r>
    </w:p>
    <w:p w:rsidR="00FC0D5F" w:rsidRPr="00F72F57" w:rsidRDefault="00FC0D5F" w:rsidP="00F80933">
      <w:pPr>
        <w:pStyle w:val="ListParagraph"/>
        <w:numPr>
          <w:ilvl w:val="0"/>
          <w:numId w:val="5"/>
        </w:numPr>
        <w:spacing w:afterLines="50" w:line="400" w:lineRule="exact"/>
        <w:ind w:leftChars="0"/>
        <w:jc w:val="both"/>
        <w:rPr>
          <w:rFonts w:eastAsia="標楷體" w:hAnsi="標楷體"/>
          <w:b/>
        </w:rPr>
      </w:pPr>
      <w:r>
        <w:rPr>
          <w:b/>
        </w:rPr>
        <w:t xml:space="preserve">Dr. </w:t>
      </w:r>
      <w:r w:rsidRPr="00F72F57">
        <w:rPr>
          <w:b/>
        </w:rPr>
        <w:t>EOM Jeongmin</w:t>
      </w:r>
    </w:p>
    <w:p w:rsidR="00FC0D5F" w:rsidRDefault="00FC0D5F" w:rsidP="00F80933">
      <w:pPr>
        <w:pStyle w:val="ListParagraph"/>
        <w:spacing w:afterLines="50" w:line="400" w:lineRule="exact"/>
        <w:ind w:leftChars="0" w:left="0" w:firstLineChars="200" w:firstLine="480"/>
        <w:jc w:val="both"/>
        <w:rPr>
          <w:rFonts w:eastAsia="標楷體" w:hAnsi="標楷體"/>
        </w:rPr>
      </w:pPr>
      <w:r>
        <w:rPr>
          <w:rFonts w:eastAsia="標楷體" w:hint="eastAsia"/>
        </w:rPr>
        <w:t>來自南韓的</w:t>
      </w:r>
      <w:r w:rsidRPr="0042001C">
        <w:rPr>
          <w:rFonts w:eastAsia="標楷體"/>
        </w:rPr>
        <w:t>Dr. EOM</w:t>
      </w:r>
      <w:r>
        <w:rPr>
          <w:rFonts w:eastAsia="標楷體" w:hint="eastAsia"/>
        </w:rPr>
        <w:t>，</w:t>
      </w:r>
      <w:r w:rsidRPr="0042001C">
        <w:rPr>
          <w:rFonts w:eastAsia="標楷體" w:hint="eastAsia"/>
        </w:rPr>
        <w:t>目前為聯合國教科文組織</w:t>
      </w:r>
      <w:r w:rsidRPr="0042001C">
        <w:rPr>
          <w:rFonts w:eastAsia="標楷體"/>
        </w:rPr>
        <w:t xml:space="preserve"> (UNESCO)</w:t>
      </w:r>
      <w:r w:rsidRPr="0042001C">
        <w:rPr>
          <w:rFonts w:eastAsia="標楷體" w:hint="eastAsia"/>
        </w:rPr>
        <w:t>亞太地區國際理解教育中心</w:t>
      </w:r>
      <w:r>
        <w:rPr>
          <w:rFonts w:eastAsia="標楷體"/>
        </w:rPr>
        <w:t>(APECIU)</w:t>
      </w:r>
      <w:r w:rsidRPr="0042001C">
        <w:rPr>
          <w:rFonts w:eastAsia="標楷體" w:hint="eastAsia"/>
        </w:rPr>
        <w:t>主任</w:t>
      </w:r>
      <w:r>
        <w:rPr>
          <w:rFonts w:eastAsia="標楷體" w:hint="eastAsia"/>
        </w:rPr>
        <w:t>，曾經執行教科文組織全球公民教育相關研究計畫與辦理師資培訓研習，具有全球公民教育與素養的研究與推動經驗。</w:t>
      </w:r>
      <w:r>
        <w:rPr>
          <w:rFonts w:eastAsia="標楷體"/>
        </w:rPr>
        <w:t xml:space="preserve">Dr. EOM </w:t>
      </w:r>
      <w:r>
        <w:rPr>
          <w:rFonts w:eastAsia="標楷體" w:hint="eastAsia"/>
        </w:rPr>
        <w:t>將在此論壇發表南韓發展</w:t>
      </w:r>
      <w:r>
        <w:rPr>
          <w:rFonts w:eastAsia="標楷體" w:hAnsi="標楷體" w:hint="eastAsia"/>
        </w:rPr>
        <w:t>二十一世紀素養的現況與挑戰，也將在第二場圓桌論壇擔任與談人。</w:t>
      </w:r>
    </w:p>
    <w:p w:rsidR="00FC0D5F" w:rsidRPr="00717F79" w:rsidRDefault="00FC0D5F" w:rsidP="00F80933">
      <w:pPr>
        <w:pStyle w:val="ListParagraph"/>
        <w:numPr>
          <w:ilvl w:val="0"/>
          <w:numId w:val="5"/>
        </w:numPr>
        <w:spacing w:afterLines="50" w:line="400" w:lineRule="exact"/>
        <w:ind w:leftChars="0"/>
        <w:jc w:val="both"/>
        <w:rPr>
          <w:rFonts w:eastAsia="標楷體"/>
          <w:b/>
        </w:rPr>
      </w:pPr>
      <w:r w:rsidRPr="00717F79">
        <w:rPr>
          <w:rFonts w:eastAsia="標楷體"/>
          <w:b/>
        </w:rPr>
        <w:t>Dr. Melvin Chan</w:t>
      </w:r>
    </w:p>
    <w:p w:rsidR="00FC0D5F" w:rsidRPr="00324467" w:rsidRDefault="00FC0D5F" w:rsidP="00F80933">
      <w:pPr>
        <w:pStyle w:val="ListParagraph"/>
        <w:spacing w:afterLines="50" w:line="400" w:lineRule="exact"/>
        <w:ind w:leftChars="0" w:left="0" w:firstLineChars="200" w:firstLine="480"/>
        <w:jc w:val="both"/>
        <w:rPr>
          <w:rFonts w:ascii="標楷體" w:eastAsia="標楷體" w:hAnsi="標楷體" w:cs="Arial"/>
          <w:color w:val="000000"/>
          <w:lang w:val="en-SG"/>
        </w:rPr>
      </w:pPr>
      <w:r w:rsidRPr="00717F79">
        <w:rPr>
          <w:rFonts w:eastAsia="標楷體" w:hAnsi="標楷體"/>
        </w:rPr>
        <w:t xml:space="preserve">Dr. Chan </w:t>
      </w:r>
      <w:r>
        <w:rPr>
          <w:rFonts w:eastAsia="標楷體" w:hAnsi="標楷體" w:hint="eastAsia"/>
        </w:rPr>
        <w:t>目前</w:t>
      </w:r>
      <w:r w:rsidRPr="00717F79">
        <w:rPr>
          <w:rFonts w:eastAsia="標楷體" w:hAnsi="標楷體" w:hint="eastAsia"/>
        </w:rPr>
        <w:t>為南洋理工大學新加坡國立教育學院教學法與實務研究中心資深</w:t>
      </w:r>
      <w:r>
        <w:rPr>
          <w:rFonts w:eastAsia="標楷體" w:hAnsi="標楷體" w:hint="eastAsia"/>
        </w:rPr>
        <w:t>研究員，自</w:t>
      </w:r>
      <w:r>
        <w:rPr>
          <w:rFonts w:eastAsia="標楷體" w:hAnsi="標楷體"/>
        </w:rPr>
        <w:t>2004</w:t>
      </w:r>
      <w:r>
        <w:rPr>
          <w:rFonts w:eastAsia="標楷體" w:hAnsi="標楷體" w:hint="eastAsia"/>
        </w:rPr>
        <w:t>年起即在該研究中心擔任研究員，曾執行二項大型研究計畫，包括生命歷程計畫</w:t>
      </w:r>
      <w:r>
        <w:rPr>
          <w:rFonts w:eastAsia="標楷體" w:hAnsi="標楷體"/>
        </w:rPr>
        <w:t>(</w:t>
      </w:r>
      <w:r>
        <w:rPr>
          <w:rFonts w:cs="Arial"/>
          <w:color w:val="000000"/>
          <w:lang w:val="en-SG"/>
        </w:rPr>
        <w:t xml:space="preserve">Life Pathways Project, </w:t>
      </w:r>
      <w:r w:rsidRPr="00EF1A6B">
        <w:rPr>
          <w:rFonts w:cs="Arial"/>
          <w:color w:val="000000"/>
          <w:lang w:val="en-SG"/>
        </w:rPr>
        <w:t xml:space="preserve">2004-2009) </w:t>
      </w:r>
      <w:r w:rsidRPr="00A305AD">
        <w:rPr>
          <w:rFonts w:ascii="標楷體" w:eastAsia="標楷體" w:hAnsi="標楷體" w:cs="Arial" w:hint="eastAsia"/>
          <w:color w:val="000000"/>
          <w:lang w:val="en-SG"/>
        </w:rPr>
        <w:t>與教學法與評量計畫</w:t>
      </w:r>
      <w:r w:rsidRPr="00A305AD">
        <w:rPr>
          <w:rFonts w:ascii="標楷體" w:eastAsia="標楷體" w:hAnsi="標楷體" w:cs="Arial"/>
          <w:color w:val="000000"/>
          <w:lang w:val="en-SG"/>
        </w:rPr>
        <w:t>(</w:t>
      </w:r>
      <w:r w:rsidRPr="00EF1A6B">
        <w:rPr>
          <w:rFonts w:cs="Arial"/>
          <w:color w:val="000000"/>
          <w:lang w:val="en-SG"/>
        </w:rPr>
        <w:t>P</w:t>
      </w:r>
      <w:r>
        <w:rPr>
          <w:rFonts w:cs="Arial"/>
          <w:color w:val="000000"/>
          <w:lang w:val="en-SG"/>
        </w:rPr>
        <w:t xml:space="preserve">edagogy and Assessment Project, </w:t>
      </w:r>
      <w:r w:rsidRPr="00EF1A6B">
        <w:rPr>
          <w:rFonts w:cs="Arial"/>
          <w:color w:val="000000"/>
          <w:lang w:val="en-SG"/>
        </w:rPr>
        <w:t>2010-2</w:t>
      </w:r>
      <w:r>
        <w:rPr>
          <w:rFonts w:cs="Arial"/>
          <w:color w:val="000000"/>
          <w:lang w:val="en-SG"/>
        </w:rPr>
        <w:t>014</w:t>
      </w:r>
      <w:r w:rsidRPr="00EF379B">
        <w:rPr>
          <w:rFonts w:ascii="標楷體" w:eastAsia="標楷體" w:hAnsi="標楷體" w:cs="Arial"/>
          <w:color w:val="000000"/>
          <w:lang w:val="en-SG"/>
        </w:rPr>
        <w:t>)</w:t>
      </w:r>
      <w:r w:rsidRPr="00EF379B">
        <w:rPr>
          <w:rFonts w:ascii="標楷體" w:eastAsia="標楷體" w:hAnsi="標楷體" w:cs="Arial" w:hint="eastAsia"/>
          <w:color w:val="000000"/>
          <w:lang w:val="en-SG"/>
        </w:rPr>
        <w:t>。目前主持</w:t>
      </w:r>
      <w:r>
        <w:rPr>
          <w:rFonts w:ascii="標楷體" w:eastAsia="標楷體" w:hAnsi="標楷體" w:cs="Arial" w:hint="eastAsia"/>
          <w:color w:val="000000"/>
          <w:lang w:val="en-SG"/>
        </w:rPr>
        <w:t>之研究計畫為探究教學實踐對學生學習成就的影響</w:t>
      </w:r>
      <w:r w:rsidRPr="00EF379B">
        <w:rPr>
          <w:rFonts w:eastAsia="標楷體" w:hint="eastAsia"/>
          <w:color w:val="000000"/>
          <w:lang w:val="en-SG"/>
        </w:rPr>
        <w:t>。</w:t>
      </w:r>
      <w:r w:rsidRPr="00EF379B">
        <w:rPr>
          <w:rFonts w:eastAsia="標楷體"/>
          <w:color w:val="000000"/>
          <w:lang w:val="en-SG"/>
        </w:rPr>
        <w:t>Dr. Chan</w:t>
      </w:r>
      <w:r>
        <w:rPr>
          <w:rFonts w:eastAsia="標楷體" w:hAnsi="標楷體" w:hint="eastAsia"/>
        </w:rPr>
        <w:t>將於此論壇分享新加坡發展二十一世紀素養的成就與經驗，也將在第二場圓桌論壇擔任與談人。</w:t>
      </w:r>
    </w:p>
    <w:p w:rsidR="00FC0D5F" w:rsidRDefault="00FC0D5F" w:rsidP="00F80933">
      <w:pPr>
        <w:pStyle w:val="ListParagraph"/>
        <w:numPr>
          <w:ilvl w:val="0"/>
          <w:numId w:val="5"/>
        </w:numPr>
        <w:spacing w:afterLines="50" w:line="400" w:lineRule="exact"/>
        <w:ind w:leftChars="0"/>
        <w:jc w:val="both"/>
        <w:rPr>
          <w:rFonts w:ascii="標楷體" w:eastAsia="標楷體" w:hAnsi="標楷體"/>
          <w:b/>
        </w:rPr>
      </w:pPr>
      <w:r>
        <w:rPr>
          <w:rFonts w:ascii="標楷體" w:eastAsia="標楷體" w:hAnsi="標楷體" w:hint="eastAsia"/>
          <w:b/>
        </w:rPr>
        <w:t>甄曉蘭教授</w:t>
      </w:r>
    </w:p>
    <w:p w:rsidR="00FC0D5F" w:rsidRPr="008B0C2B" w:rsidRDefault="00FC0D5F" w:rsidP="00F80933">
      <w:pPr>
        <w:spacing w:afterLines="50" w:line="400" w:lineRule="exact"/>
        <w:ind w:firstLineChars="200" w:firstLine="480"/>
        <w:jc w:val="both"/>
        <w:rPr>
          <w:rFonts w:ascii="標楷體" w:eastAsia="標楷體" w:hAnsi="標楷體"/>
        </w:rPr>
      </w:pPr>
      <w:r w:rsidRPr="008B0C2B">
        <w:rPr>
          <w:rFonts w:ascii="標楷體" w:eastAsia="標楷體" w:hAnsi="標楷體" w:hint="eastAsia"/>
        </w:rPr>
        <w:t>甄曉蘭教授</w:t>
      </w:r>
      <w:r>
        <w:rPr>
          <w:rFonts w:ascii="標楷體" w:eastAsia="標楷體" w:hAnsi="標楷體" w:hint="eastAsia"/>
        </w:rPr>
        <w:t>為國立臺灣師範大學教育學系兼系主任，具課程與教學領域專長，對於臺灣近代的課程發展與趨勢有深入的研究。甄曉蘭教授將主持第一場圓桌論炭，接著分享臺灣二十一世紀與素養相關的課程改革脈絡、發展與挑戰。</w:t>
      </w:r>
    </w:p>
    <w:p w:rsidR="00FC0D5F" w:rsidRDefault="00FC0D5F" w:rsidP="00F80933">
      <w:pPr>
        <w:pStyle w:val="ListParagraph"/>
        <w:numPr>
          <w:ilvl w:val="0"/>
          <w:numId w:val="5"/>
        </w:numPr>
        <w:spacing w:afterLines="50" w:line="400" w:lineRule="exact"/>
        <w:ind w:leftChars="0"/>
        <w:jc w:val="both"/>
        <w:rPr>
          <w:rFonts w:eastAsia="標楷體" w:hAnsi="標楷體"/>
          <w:b/>
        </w:rPr>
      </w:pPr>
      <w:r>
        <w:rPr>
          <w:rFonts w:eastAsia="標楷體" w:hAnsi="標楷體" w:hint="eastAsia"/>
          <w:b/>
        </w:rPr>
        <w:t>李俊仁副教授</w:t>
      </w:r>
    </w:p>
    <w:p w:rsidR="00FC0D5F" w:rsidRDefault="00FC0D5F" w:rsidP="00F80933">
      <w:pPr>
        <w:pStyle w:val="ListParagraph"/>
        <w:spacing w:afterLines="50" w:line="400" w:lineRule="exact"/>
        <w:ind w:leftChars="0" w:left="0" w:firstLineChars="200" w:firstLine="480"/>
        <w:jc w:val="both"/>
        <w:rPr>
          <w:rFonts w:eastAsia="標楷體" w:hAnsi="標楷體"/>
        </w:rPr>
      </w:pPr>
      <w:r w:rsidRPr="0074591A">
        <w:rPr>
          <w:rFonts w:eastAsia="標楷體" w:hAnsi="標楷體" w:hint="eastAsia"/>
        </w:rPr>
        <w:t>李俊仁教授為教育部「提升國民素養實施方案」共同主持人，將分享此專案發展國民素養之理念，以及參照美國各州共同課程核心標準</w:t>
      </w:r>
      <w:r w:rsidRPr="0074591A">
        <w:rPr>
          <w:rFonts w:eastAsia="標楷體" w:hAnsi="標楷體"/>
        </w:rPr>
        <w:t>(Common Core State Standards )</w:t>
      </w:r>
      <w:r>
        <w:rPr>
          <w:rFonts w:eastAsia="標楷體" w:hAnsi="標楷體" w:hint="eastAsia"/>
        </w:rPr>
        <w:t>之</w:t>
      </w:r>
      <w:r w:rsidRPr="0074591A">
        <w:rPr>
          <w:rFonts w:eastAsia="標楷體" w:hAnsi="標楷體" w:hint="eastAsia"/>
        </w:rPr>
        <w:t>測驗</w:t>
      </w:r>
      <w:r w:rsidRPr="0074591A">
        <w:rPr>
          <w:rFonts w:eastAsia="標楷體" w:hAnsi="標楷體"/>
        </w:rPr>
        <w:t>SBAC (The Smarter Balanced Assessment Consortium)</w:t>
      </w:r>
      <w:r w:rsidRPr="0074591A">
        <w:rPr>
          <w:rFonts w:eastAsia="標楷體" w:hAnsi="標楷體" w:hint="eastAsia"/>
        </w:rPr>
        <w:t>與</w:t>
      </w:r>
      <w:r w:rsidRPr="0074591A">
        <w:rPr>
          <w:rFonts w:eastAsia="標楷體" w:hAnsi="標楷體"/>
        </w:rPr>
        <w:t>PARCC (Partnership for Assessment of Readiness for College and Careers)</w:t>
      </w:r>
      <w:r w:rsidRPr="0074591A">
        <w:rPr>
          <w:rFonts w:eastAsia="標楷體" w:hAnsi="標楷體" w:hint="eastAsia"/>
        </w:rPr>
        <w:t>的設計與實施</w:t>
      </w:r>
      <w:r>
        <w:rPr>
          <w:rFonts w:eastAsia="標楷體" w:hAnsi="標楷體" w:hint="eastAsia"/>
        </w:rPr>
        <w:t>，說明我國國民素養檢測設計的理念與挑戰。除此之外，</w:t>
      </w:r>
      <w:r w:rsidRPr="00552F66">
        <w:rPr>
          <w:rFonts w:eastAsia="標楷體" w:hAnsi="標楷體" w:hint="eastAsia"/>
        </w:rPr>
        <w:t>李俊仁教授</w:t>
      </w:r>
      <w:r>
        <w:rPr>
          <w:rFonts w:eastAsia="標楷體" w:hAnsi="標楷體" w:hint="eastAsia"/>
        </w:rPr>
        <w:t>也</w:t>
      </w:r>
      <w:r w:rsidRPr="00552F66">
        <w:rPr>
          <w:rFonts w:eastAsia="標楷體" w:hAnsi="標楷體" w:hint="eastAsia"/>
        </w:rPr>
        <w:t>將在第二場圓桌論壇擔任與談人。</w:t>
      </w:r>
    </w:p>
    <w:p w:rsidR="00FC0D5F" w:rsidRPr="00552F66" w:rsidRDefault="00FC0D5F" w:rsidP="00F80933">
      <w:pPr>
        <w:pStyle w:val="ListParagraph"/>
        <w:spacing w:afterLines="50" w:line="400" w:lineRule="exact"/>
        <w:ind w:leftChars="0" w:left="0" w:firstLineChars="200" w:firstLine="480"/>
        <w:jc w:val="both"/>
        <w:rPr>
          <w:rFonts w:eastAsia="標楷體" w:hAnsi="標楷體"/>
        </w:rPr>
      </w:pPr>
    </w:p>
    <w:p w:rsidR="00FC0D5F" w:rsidRDefault="00FC0D5F" w:rsidP="00B06C8C">
      <w:pPr>
        <w:widowControl/>
        <w:rPr>
          <w:rFonts w:ascii="Times New Roman" w:eastAsia="標楷體" w:hAnsi="Times New Roman"/>
          <w:b/>
          <w:sz w:val="32"/>
          <w:szCs w:val="32"/>
        </w:rPr>
      </w:pPr>
      <w:r>
        <w:rPr>
          <w:rFonts w:ascii="Times New Roman" w:eastAsia="標楷體" w:hAnsi="Times New Roman"/>
          <w:b/>
          <w:sz w:val="32"/>
          <w:szCs w:val="32"/>
        </w:rPr>
        <w:br w:type="page"/>
      </w:r>
    </w:p>
    <w:p w:rsidR="00FC0D5F" w:rsidRPr="00A7353B" w:rsidRDefault="00FC0D5F" w:rsidP="00B06C8C">
      <w:pPr>
        <w:jc w:val="center"/>
        <w:rPr>
          <w:rFonts w:ascii="Times New Roman" w:eastAsia="標楷體" w:hAnsi="Times New Roman"/>
          <w:b/>
          <w:sz w:val="32"/>
          <w:szCs w:val="32"/>
        </w:rPr>
      </w:pPr>
      <w:r w:rsidRPr="00A7353B">
        <w:rPr>
          <w:rFonts w:ascii="Times New Roman" w:eastAsia="標楷體" w:hAnsi="Times New Roman" w:hint="eastAsia"/>
          <w:b/>
          <w:sz w:val="32"/>
          <w:szCs w:val="32"/>
        </w:rPr>
        <w:t>亞洲教育體系二十一世紀素養發展國際論壇</w:t>
      </w:r>
    </w:p>
    <w:p w:rsidR="00FC0D5F" w:rsidRPr="00B16F6D" w:rsidRDefault="00FC0D5F" w:rsidP="00B06C8C">
      <w:pPr>
        <w:jc w:val="center"/>
        <w:rPr>
          <w:rFonts w:ascii="Times New Roman" w:eastAsia="標楷體" w:hAnsi="Times New Roman"/>
          <w:b/>
          <w:sz w:val="28"/>
          <w:szCs w:val="28"/>
        </w:rPr>
      </w:pPr>
      <w:r w:rsidRPr="00B16F6D">
        <w:rPr>
          <w:rFonts w:ascii="Times New Roman" w:eastAsia="標楷體" w:hAnsi="Times New Roman"/>
          <w:b/>
          <w:sz w:val="28"/>
          <w:szCs w:val="28"/>
        </w:rPr>
        <w:t>International Symposium on Advancement of 21</w:t>
      </w:r>
      <w:r w:rsidRPr="00B16F6D">
        <w:rPr>
          <w:rFonts w:ascii="Times New Roman" w:eastAsia="標楷體" w:hAnsi="Times New Roman"/>
          <w:b/>
          <w:sz w:val="28"/>
          <w:szCs w:val="28"/>
          <w:vertAlign w:val="superscript"/>
        </w:rPr>
        <w:t>st</w:t>
      </w:r>
      <w:r w:rsidRPr="00B16F6D">
        <w:rPr>
          <w:rFonts w:ascii="Times New Roman" w:eastAsia="標楷體" w:hAnsi="Times New Roman"/>
          <w:b/>
          <w:sz w:val="28"/>
          <w:szCs w:val="28"/>
        </w:rPr>
        <w:t xml:space="preserve"> Century Competencies in East Asian Education Systems</w:t>
      </w:r>
    </w:p>
    <w:p w:rsidR="00FC0D5F" w:rsidRPr="00B16F6D" w:rsidRDefault="00FC0D5F" w:rsidP="00B06C8C">
      <w:pPr>
        <w:jc w:val="center"/>
        <w:rPr>
          <w:rFonts w:ascii="Times New Roman" w:eastAsia="標楷體" w:hAnsi="Times New Roman"/>
          <w:b/>
          <w:sz w:val="28"/>
          <w:szCs w:val="28"/>
        </w:rPr>
      </w:pPr>
    </w:p>
    <w:p w:rsidR="00FC0D5F" w:rsidRPr="00A7353B" w:rsidRDefault="00FC0D5F" w:rsidP="00F80933">
      <w:pPr>
        <w:spacing w:beforeLines="50"/>
        <w:jc w:val="center"/>
        <w:rPr>
          <w:rFonts w:ascii="Times New Roman" w:eastAsia="標楷體" w:hAnsi="Times New Roman"/>
          <w:sz w:val="26"/>
          <w:szCs w:val="26"/>
        </w:rPr>
      </w:pPr>
      <w:r w:rsidRPr="00A7353B">
        <w:rPr>
          <w:rFonts w:ascii="Times New Roman" w:eastAsia="標楷體" w:hAnsi="Times New Roman" w:hint="eastAsia"/>
          <w:sz w:val="26"/>
          <w:szCs w:val="26"/>
        </w:rPr>
        <w:t>時間</w:t>
      </w:r>
      <w:r w:rsidRPr="00A7353B">
        <w:rPr>
          <w:rFonts w:ascii="Times New Roman" w:eastAsia="標楷體" w:hAnsi="Times New Roman"/>
          <w:sz w:val="26"/>
          <w:szCs w:val="26"/>
        </w:rPr>
        <w:t>: 2016</w:t>
      </w:r>
      <w:r w:rsidRPr="00A7353B">
        <w:rPr>
          <w:rFonts w:ascii="Times New Roman" w:eastAsia="標楷體" w:hAnsi="Times New Roman" w:hint="eastAsia"/>
          <w:sz w:val="26"/>
          <w:szCs w:val="26"/>
        </w:rPr>
        <w:t>年</w:t>
      </w:r>
      <w:r w:rsidRPr="00A7353B">
        <w:rPr>
          <w:rFonts w:ascii="Times New Roman" w:eastAsia="標楷體" w:hAnsi="Times New Roman"/>
          <w:sz w:val="26"/>
          <w:szCs w:val="26"/>
        </w:rPr>
        <w:t>4</w:t>
      </w:r>
      <w:r w:rsidRPr="00A7353B">
        <w:rPr>
          <w:rFonts w:ascii="Times New Roman" w:eastAsia="標楷體" w:hAnsi="Times New Roman" w:hint="eastAsia"/>
          <w:sz w:val="26"/>
          <w:szCs w:val="26"/>
        </w:rPr>
        <w:t>月</w:t>
      </w:r>
      <w:r w:rsidRPr="00A7353B">
        <w:rPr>
          <w:rFonts w:ascii="Times New Roman" w:eastAsia="標楷體" w:hAnsi="Times New Roman"/>
          <w:sz w:val="26"/>
          <w:szCs w:val="26"/>
        </w:rPr>
        <w:t>23</w:t>
      </w:r>
      <w:r w:rsidRPr="00A7353B">
        <w:rPr>
          <w:rFonts w:ascii="Times New Roman" w:eastAsia="標楷體" w:hAnsi="Times New Roman" w:hint="eastAsia"/>
          <w:sz w:val="26"/>
          <w:szCs w:val="26"/>
        </w:rPr>
        <w:t>日</w:t>
      </w:r>
    </w:p>
    <w:p w:rsidR="00FC0D5F" w:rsidRPr="00A7353B" w:rsidRDefault="00FC0D5F" w:rsidP="00F80933">
      <w:pPr>
        <w:spacing w:beforeLines="50"/>
        <w:jc w:val="center"/>
        <w:rPr>
          <w:rFonts w:ascii="Times New Roman" w:eastAsia="標楷體" w:hAnsi="Times New Roman"/>
          <w:sz w:val="26"/>
          <w:szCs w:val="26"/>
        </w:rPr>
      </w:pPr>
      <w:r w:rsidRPr="00A7353B">
        <w:rPr>
          <w:rFonts w:ascii="Times New Roman" w:eastAsia="標楷體" w:hAnsi="Times New Roman" w:hint="eastAsia"/>
          <w:sz w:val="26"/>
          <w:szCs w:val="26"/>
        </w:rPr>
        <w:t>地點</w:t>
      </w:r>
      <w:r w:rsidRPr="00A7353B">
        <w:rPr>
          <w:rFonts w:ascii="Times New Roman" w:eastAsia="標楷體" w:hAnsi="Times New Roman"/>
          <w:sz w:val="26"/>
          <w:szCs w:val="26"/>
        </w:rPr>
        <w:t xml:space="preserve">: </w:t>
      </w:r>
      <w:r w:rsidRPr="00A7353B">
        <w:rPr>
          <w:rFonts w:ascii="Times New Roman" w:eastAsia="標楷體" w:hAnsi="Times New Roman" w:hint="eastAsia"/>
          <w:sz w:val="26"/>
          <w:szCs w:val="26"/>
        </w:rPr>
        <w:t>國立臺灣師範大學</w:t>
      </w:r>
      <w:r w:rsidRPr="00A7353B">
        <w:rPr>
          <w:rFonts w:ascii="Times New Roman" w:eastAsia="標楷體" w:hAnsi="Times New Roman"/>
          <w:sz w:val="26"/>
          <w:szCs w:val="26"/>
        </w:rPr>
        <w:t xml:space="preserve"> </w:t>
      </w:r>
      <w:r w:rsidRPr="00A7353B">
        <w:rPr>
          <w:rFonts w:ascii="Times New Roman" w:eastAsia="標楷體" w:hAnsi="Times New Roman" w:hint="eastAsia"/>
          <w:sz w:val="26"/>
          <w:szCs w:val="26"/>
        </w:rPr>
        <w:t>教育學院二樓</w:t>
      </w:r>
      <w:r w:rsidRPr="00A7353B">
        <w:rPr>
          <w:rFonts w:ascii="Times New Roman" w:eastAsia="標楷體" w:hAnsi="Times New Roman"/>
          <w:sz w:val="26"/>
          <w:szCs w:val="26"/>
        </w:rPr>
        <w:t>202</w:t>
      </w:r>
      <w:r w:rsidRPr="00A7353B">
        <w:rPr>
          <w:rFonts w:ascii="Times New Roman" w:eastAsia="標楷體" w:hAnsi="Times New Roman" w:hint="eastAsia"/>
          <w:sz w:val="26"/>
          <w:szCs w:val="26"/>
        </w:rPr>
        <w:t>國際會議廳</w:t>
      </w:r>
    </w:p>
    <w:p w:rsidR="00FC0D5F" w:rsidRPr="002316B9" w:rsidRDefault="00FC0D5F" w:rsidP="00B06C8C">
      <w:pPr>
        <w:jc w:val="center"/>
        <w:rPr>
          <w:rFonts w:ascii="Times New Roman" w:eastAsia="標楷體" w:hAnsi="Times New Roman"/>
          <w:b/>
          <w:sz w:val="28"/>
          <w:szCs w:val="28"/>
        </w:rPr>
      </w:pPr>
      <w:r w:rsidRPr="00B16F6D">
        <w:rPr>
          <w:rFonts w:ascii="Times New Roman" w:eastAsia="標楷體" w:hAnsi="Times New Roman" w:hint="eastAsia"/>
          <w:b/>
          <w:sz w:val="28"/>
          <w:szCs w:val="28"/>
        </w:rPr>
        <w:t>議</w:t>
      </w:r>
      <w:r>
        <w:rPr>
          <w:rFonts w:ascii="Times New Roman" w:eastAsia="標楷體" w:hAnsi="Times New Roman"/>
          <w:b/>
          <w:sz w:val="28"/>
          <w:szCs w:val="28"/>
        </w:rPr>
        <w:t xml:space="preserve">  </w:t>
      </w:r>
      <w:r w:rsidRPr="00B16F6D">
        <w:rPr>
          <w:rFonts w:ascii="Times New Roman" w:eastAsia="標楷體" w:hAnsi="Times New Roman" w:hint="eastAsia"/>
          <w:b/>
          <w:sz w:val="28"/>
          <w:szCs w:val="28"/>
        </w:rPr>
        <w:t>程</w:t>
      </w:r>
    </w:p>
    <w:tbl>
      <w:tblPr>
        <w:tblW w:w="9167" w:type="dxa"/>
        <w:tblInd w:w="-17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1418"/>
        <w:gridCol w:w="1985"/>
        <w:gridCol w:w="5764"/>
      </w:tblGrid>
      <w:tr w:rsidR="00FC0D5F" w:rsidRPr="00B16F6D" w:rsidTr="003654B8">
        <w:tc>
          <w:tcPr>
            <w:tcW w:w="1418" w:type="dxa"/>
            <w:tcBorders>
              <w:top w:val="single" w:sz="4" w:space="0" w:color="auto"/>
            </w:tcBorders>
            <w:vAlign w:val="center"/>
          </w:tcPr>
          <w:p w:rsidR="00FC0D5F" w:rsidRPr="003654B8" w:rsidRDefault="00FC0D5F" w:rsidP="003654B8">
            <w:pPr>
              <w:jc w:val="center"/>
              <w:rPr>
                <w:rFonts w:ascii="Times New Roman" w:eastAsia="標楷體" w:hAnsi="Times New Roman"/>
                <w:b/>
                <w:kern w:val="0"/>
                <w:sz w:val="20"/>
                <w:szCs w:val="20"/>
              </w:rPr>
            </w:pPr>
            <w:r w:rsidRPr="003654B8">
              <w:rPr>
                <w:rFonts w:ascii="Times New Roman" w:eastAsia="標楷體" w:hAnsi="Times New Roman" w:hint="eastAsia"/>
                <w:b/>
                <w:kern w:val="0"/>
                <w:sz w:val="20"/>
                <w:szCs w:val="20"/>
              </w:rPr>
              <w:t>時間</w:t>
            </w:r>
          </w:p>
        </w:tc>
        <w:tc>
          <w:tcPr>
            <w:tcW w:w="7749" w:type="dxa"/>
            <w:gridSpan w:val="2"/>
            <w:tcBorders>
              <w:top w:val="single" w:sz="4" w:space="0" w:color="auto"/>
            </w:tcBorders>
          </w:tcPr>
          <w:p w:rsidR="00FC0D5F" w:rsidRPr="003654B8" w:rsidRDefault="00FC0D5F" w:rsidP="003654B8">
            <w:pPr>
              <w:jc w:val="center"/>
              <w:rPr>
                <w:rFonts w:ascii="Times New Roman" w:eastAsia="標楷體" w:hAnsi="Times New Roman"/>
                <w:b/>
                <w:kern w:val="0"/>
                <w:sz w:val="20"/>
                <w:szCs w:val="20"/>
              </w:rPr>
            </w:pPr>
            <w:r w:rsidRPr="003654B8">
              <w:rPr>
                <w:rFonts w:ascii="Times New Roman" w:eastAsia="標楷體" w:hAnsi="Times New Roman" w:hint="eastAsia"/>
                <w:b/>
                <w:kern w:val="0"/>
                <w:sz w:val="20"/>
                <w:szCs w:val="20"/>
              </w:rPr>
              <w:t>議</w:t>
            </w:r>
            <w:r w:rsidRPr="003654B8">
              <w:rPr>
                <w:rFonts w:ascii="Times New Roman" w:eastAsia="標楷體" w:hAnsi="Times New Roman"/>
                <w:b/>
                <w:kern w:val="0"/>
                <w:sz w:val="20"/>
                <w:szCs w:val="20"/>
              </w:rPr>
              <w:t xml:space="preserve">             </w:t>
            </w:r>
            <w:r w:rsidRPr="003654B8">
              <w:rPr>
                <w:rFonts w:ascii="Times New Roman" w:eastAsia="標楷體" w:hAnsi="Times New Roman" w:hint="eastAsia"/>
                <w:b/>
                <w:kern w:val="0"/>
                <w:sz w:val="20"/>
                <w:szCs w:val="20"/>
              </w:rPr>
              <w:t>程</w:t>
            </w:r>
          </w:p>
        </w:tc>
      </w:tr>
      <w:tr w:rsidR="00FC0D5F" w:rsidRPr="00B16F6D" w:rsidTr="003654B8">
        <w:tc>
          <w:tcPr>
            <w:tcW w:w="1418" w:type="dxa"/>
            <w:vAlign w:val="center"/>
          </w:tcPr>
          <w:p w:rsidR="00FC0D5F" w:rsidRPr="003654B8" w:rsidRDefault="00FC0D5F" w:rsidP="003654B8">
            <w:pPr>
              <w:spacing w:line="360" w:lineRule="auto"/>
              <w:jc w:val="center"/>
              <w:rPr>
                <w:rFonts w:ascii="Times New Roman" w:eastAsia="標楷體" w:hAnsi="Times New Roman"/>
                <w:kern w:val="0"/>
                <w:sz w:val="20"/>
                <w:szCs w:val="20"/>
              </w:rPr>
            </w:pPr>
            <w:r w:rsidRPr="003654B8">
              <w:rPr>
                <w:rFonts w:ascii="Times New Roman" w:eastAsia="標楷體" w:hAnsi="Times New Roman"/>
                <w:kern w:val="0"/>
                <w:sz w:val="20"/>
                <w:szCs w:val="20"/>
              </w:rPr>
              <w:t>8:30-9:00</w:t>
            </w:r>
          </w:p>
        </w:tc>
        <w:tc>
          <w:tcPr>
            <w:tcW w:w="7749" w:type="dxa"/>
            <w:gridSpan w:val="2"/>
          </w:tcPr>
          <w:p w:rsidR="00FC0D5F" w:rsidRPr="003654B8" w:rsidRDefault="00FC0D5F" w:rsidP="003654B8">
            <w:pPr>
              <w:spacing w:line="360" w:lineRule="auto"/>
              <w:rPr>
                <w:rFonts w:ascii="Times New Roman" w:eastAsia="標楷體" w:hAnsi="Times New Roman"/>
                <w:b/>
                <w:kern w:val="0"/>
                <w:sz w:val="20"/>
                <w:szCs w:val="20"/>
              </w:rPr>
            </w:pPr>
            <w:r w:rsidRPr="003654B8">
              <w:rPr>
                <w:rFonts w:ascii="Times New Roman" w:eastAsia="標楷體" w:hAnsi="Times New Roman" w:hint="eastAsia"/>
                <w:b/>
                <w:kern w:val="0"/>
                <w:sz w:val="20"/>
                <w:szCs w:val="20"/>
              </w:rPr>
              <w:t>報到</w:t>
            </w:r>
          </w:p>
        </w:tc>
      </w:tr>
      <w:tr w:rsidR="00FC0D5F" w:rsidRPr="00B16F6D" w:rsidTr="003654B8">
        <w:trPr>
          <w:trHeight w:val="540"/>
        </w:trPr>
        <w:tc>
          <w:tcPr>
            <w:tcW w:w="1418" w:type="dxa"/>
            <w:vAlign w:val="center"/>
          </w:tcPr>
          <w:p w:rsidR="00FC0D5F" w:rsidRPr="003654B8" w:rsidRDefault="00FC0D5F" w:rsidP="003654B8">
            <w:pPr>
              <w:jc w:val="center"/>
              <w:rPr>
                <w:rFonts w:ascii="Times New Roman" w:eastAsia="標楷體" w:hAnsi="Times New Roman"/>
                <w:kern w:val="0"/>
                <w:sz w:val="20"/>
                <w:szCs w:val="20"/>
              </w:rPr>
            </w:pPr>
            <w:r w:rsidRPr="003654B8">
              <w:rPr>
                <w:rFonts w:ascii="Times New Roman" w:eastAsia="標楷體" w:hAnsi="Times New Roman"/>
                <w:kern w:val="0"/>
                <w:sz w:val="20"/>
                <w:szCs w:val="20"/>
              </w:rPr>
              <w:t>9:00-9:10</w:t>
            </w:r>
          </w:p>
        </w:tc>
        <w:tc>
          <w:tcPr>
            <w:tcW w:w="7749" w:type="dxa"/>
            <w:gridSpan w:val="2"/>
          </w:tcPr>
          <w:p w:rsidR="00FC0D5F" w:rsidRPr="003654B8" w:rsidRDefault="00FC0D5F" w:rsidP="00E45CFD">
            <w:pPr>
              <w:rPr>
                <w:rFonts w:ascii="Times New Roman" w:eastAsia="標楷體" w:hAnsi="Times New Roman"/>
                <w:b/>
                <w:kern w:val="0"/>
                <w:sz w:val="20"/>
                <w:szCs w:val="20"/>
              </w:rPr>
            </w:pPr>
            <w:r w:rsidRPr="003654B8">
              <w:rPr>
                <w:rFonts w:ascii="Times New Roman" w:eastAsia="標楷體" w:hAnsi="Times New Roman" w:hint="eastAsia"/>
                <w:b/>
                <w:kern w:val="0"/>
                <w:sz w:val="20"/>
                <w:szCs w:val="20"/>
              </w:rPr>
              <w:t>開幕式</w:t>
            </w:r>
            <w:r w:rsidRPr="003654B8">
              <w:rPr>
                <w:rFonts w:ascii="Times New Roman" w:eastAsia="標楷體" w:hAnsi="Times New Roman"/>
                <w:b/>
                <w:kern w:val="0"/>
                <w:sz w:val="20"/>
                <w:szCs w:val="20"/>
              </w:rPr>
              <w:t xml:space="preserve">  </w:t>
            </w:r>
          </w:p>
          <w:p w:rsidR="00FC0D5F" w:rsidRPr="003654B8" w:rsidRDefault="00FC0D5F" w:rsidP="00E45CFD">
            <w:pPr>
              <w:rPr>
                <w:rFonts w:ascii="Times New Roman" w:eastAsia="標楷體" w:hAnsi="Times New Roman"/>
                <w:kern w:val="0"/>
                <w:sz w:val="20"/>
                <w:szCs w:val="20"/>
              </w:rPr>
            </w:pPr>
            <w:r w:rsidRPr="003654B8">
              <w:rPr>
                <w:rFonts w:ascii="Times New Roman" w:eastAsia="標楷體" w:hAnsi="Times New Roman" w:hint="eastAsia"/>
                <w:b/>
                <w:kern w:val="0"/>
                <w:sz w:val="20"/>
                <w:szCs w:val="20"/>
              </w:rPr>
              <w:t>國教署長官暨教育學系甄曉蘭教授兼系主任</w:t>
            </w:r>
            <w:r w:rsidRPr="003654B8">
              <w:rPr>
                <w:rFonts w:ascii="Times New Roman" w:eastAsia="標楷體" w:hAnsi="Times New Roman"/>
                <w:b/>
                <w:kern w:val="0"/>
                <w:sz w:val="20"/>
                <w:szCs w:val="20"/>
              </w:rPr>
              <w:t xml:space="preserve"> </w:t>
            </w:r>
            <w:r w:rsidRPr="003654B8">
              <w:rPr>
                <w:rFonts w:ascii="Times New Roman" w:eastAsia="標楷體" w:hAnsi="Times New Roman" w:hint="eastAsia"/>
                <w:b/>
                <w:kern w:val="0"/>
                <w:sz w:val="20"/>
                <w:szCs w:val="20"/>
              </w:rPr>
              <w:t>致歡迎詞</w:t>
            </w:r>
          </w:p>
        </w:tc>
      </w:tr>
      <w:tr w:rsidR="00FC0D5F" w:rsidRPr="00B16F6D" w:rsidTr="003654B8">
        <w:trPr>
          <w:trHeight w:val="540"/>
        </w:trPr>
        <w:tc>
          <w:tcPr>
            <w:tcW w:w="1418" w:type="dxa"/>
            <w:vMerge w:val="restart"/>
            <w:vAlign w:val="center"/>
          </w:tcPr>
          <w:p w:rsidR="00FC0D5F" w:rsidRPr="003654B8" w:rsidRDefault="00FC0D5F" w:rsidP="003654B8">
            <w:pPr>
              <w:jc w:val="center"/>
              <w:rPr>
                <w:rFonts w:ascii="Times New Roman" w:eastAsia="標楷體" w:hAnsi="Times New Roman"/>
                <w:kern w:val="0"/>
                <w:sz w:val="20"/>
                <w:szCs w:val="20"/>
              </w:rPr>
            </w:pPr>
            <w:r w:rsidRPr="003654B8">
              <w:rPr>
                <w:rFonts w:ascii="Times New Roman" w:eastAsia="標楷體" w:hAnsi="Times New Roman"/>
                <w:kern w:val="0"/>
                <w:sz w:val="20"/>
                <w:szCs w:val="20"/>
              </w:rPr>
              <w:t>9:10-10:00</w:t>
            </w:r>
          </w:p>
        </w:tc>
        <w:tc>
          <w:tcPr>
            <w:tcW w:w="7749" w:type="dxa"/>
            <w:gridSpan w:val="2"/>
            <w:tcBorders>
              <w:bottom w:val="nil"/>
              <w:right w:val="single" w:sz="6" w:space="0" w:color="auto"/>
            </w:tcBorders>
          </w:tcPr>
          <w:p w:rsidR="00FC0D5F" w:rsidRPr="003654B8" w:rsidRDefault="00FC0D5F" w:rsidP="0024577C">
            <w:pPr>
              <w:rPr>
                <w:rFonts w:ascii="Times New Roman" w:eastAsia="標楷體" w:hAnsi="Times New Roman"/>
                <w:b/>
                <w:kern w:val="0"/>
                <w:sz w:val="20"/>
                <w:szCs w:val="20"/>
              </w:rPr>
            </w:pPr>
            <w:r w:rsidRPr="003654B8">
              <w:rPr>
                <w:rFonts w:ascii="Times New Roman" w:eastAsia="標楷體" w:hAnsi="Times New Roman" w:hint="eastAsia"/>
                <w:b/>
                <w:kern w:val="0"/>
                <w:sz w:val="20"/>
                <w:szCs w:val="20"/>
              </w:rPr>
              <w:t>專題演講一</w:t>
            </w:r>
            <w:r w:rsidRPr="003654B8">
              <w:rPr>
                <w:rFonts w:ascii="Times New Roman" w:eastAsia="標楷體" w:hAnsi="Times New Roman"/>
                <w:b/>
                <w:kern w:val="0"/>
                <w:sz w:val="20"/>
                <w:szCs w:val="20"/>
              </w:rPr>
              <w:t xml:space="preserve"> </w:t>
            </w:r>
          </w:p>
          <w:p w:rsidR="00FC0D5F" w:rsidRPr="003654B8" w:rsidRDefault="00FC0D5F" w:rsidP="003654B8">
            <w:pPr>
              <w:ind w:leftChars="100" w:left="240"/>
              <w:rPr>
                <w:rFonts w:ascii="Times New Roman" w:eastAsia="標楷體" w:hAnsi="Times New Roman"/>
                <w:b/>
                <w:kern w:val="0"/>
                <w:sz w:val="20"/>
                <w:szCs w:val="20"/>
              </w:rPr>
            </w:pPr>
            <w:r w:rsidRPr="003654B8">
              <w:rPr>
                <w:rFonts w:ascii="Times New Roman" w:eastAsia="標楷體" w:hAnsi="Times New Roman" w:hint="eastAsia"/>
                <w:b/>
                <w:kern w:val="0"/>
                <w:sz w:val="20"/>
                <w:szCs w:val="20"/>
              </w:rPr>
              <w:t>成智五步</w:t>
            </w:r>
            <w:r w:rsidRPr="003654B8">
              <w:rPr>
                <w:rFonts w:ascii="Times New Roman" w:eastAsia="標楷體" w:hAnsi="Times New Roman"/>
                <w:b/>
                <w:kern w:val="0"/>
                <w:sz w:val="20"/>
                <w:szCs w:val="20"/>
              </w:rPr>
              <w:t xml:space="preserve">: </w:t>
            </w:r>
            <w:r w:rsidRPr="003654B8">
              <w:rPr>
                <w:rFonts w:ascii="Times New Roman" w:eastAsia="標楷體" w:hAnsi="Times New Roman" w:hint="eastAsia"/>
                <w:b/>
                <w:kern w:val="0"/>
                <w:sz w:val="20"/>
                <w:szCs w:val="20"/>
              </w:rPr>
              <w:t>仿、借、存、轉、聯</w:t>
            </w:r>
          </w:p>
        </w:tc>
      </w:tr>
      <w:tr w:rsidR="00FC0D5F" w:rsidRPr="00B16F6D" w:rsidTr="003654B8">
        <w:trPr>
          <w:trHeight w:val="540"/>
        </w:trPr>
        <w:tc>
          <w:tcPr>
            <w:tcW w:w="1418" w:type="dxa"/>
            <w:vMerge/>
            <w:vAlign w:val="center"/>
          </w:tcPr>
          <w:p w:rsidR="00FC0D5F" w:rsidRPr="003654B8" w:rsidRDefault="00FC0D5F" w:rsidP="003654B8">
            <w:pPr>
              <w:jc w:val="center"/>
              <w:rPr>
                <w:rFonts w:ascii="Times New Roman" w:eastAsia="標楷體" w:hAnsi="Times New Roman"/>
                <w:kern w:val="0"/>
                <w:sz w:val="20"/>
                <w:szCs w:val="20"/>
              </w:rPr>
            </w:pPr>
          </w:p>
        </w:tc>
        <w:tc>
          <w:tcPr>
            <w:tcW w:w="1985" w:type="dxa"/>
            <w:tcBorders>
              <w:top w:val="nil"/>
              <w:right w:val="nil"/>
            </w:tcBorders>
          </w:tcPr>
          <w:p w:rsidR="00FC0D5F" w:rsidRPr="003654B8" w:rsidRDefault="00FC0D5F" w:rsidP="0024577C">
            <w:pPr>
              <w:rPr>
                <w:rFonts w:ascii="Times New Roman" w:eastAsia="標楷體" w:hAnsi="Times New Roman"/>
                <w:kern w:val="0"/>
                <w:sz w:val="20"/>
                <w:szCs w:val="20"/>
              </w:rPr>
            </w:pPr>
            <w:r w:rsidRPr="003654B8">
              <w:rPr>
                <w:rFonts w:ascii="Times New Roman" w:eastAsia="標楷體" w:hAnsi="Times New Roman" w:hint="eastAsia"/>
                <w:color w:val="595959"/>
                <w:kern w:val="0"/>
                <w:sz w:val="20"/>
                <w:szCs w:val="20"/>
              </w:rPr>
              <w:t>主講人</w:t>
            </w:r>
          </w:p>
        </w:tc>
        <w:tc>
          <w:tcPr>
            <w:tcW w:w="5764" w:type="dxa"/>
            <w:tcBorders>
              <w:top w:val="nil"/>
              <w:left w:val="nil"/>
              <w:right w:val="single" w:sz="6" w:space="0" w:color="auto"/>
            </w:tcBorders>
          </w:tcPr>
          <w:p w:rsidR="00FC0D5F" w:rsidRPr="003654B8" w:rsidRDefault="00FC0D5F" w:rsidP="0024577C">
            <w:pPr>
              <w:rPr>
                <w:rFonts w:ascii="Times New Roman" w:eastAsia="標楷體" w:hAnsi="Times New Roman"/>
                <w:kern w:val="0"/>
                <w:sz w:val="20"/>
                <w:szCs w:val="20"/>
              </w:rPr>
            </w:pPr>
            <w:r w:rsidRPr="003654B8">
              <w:rPr>
                <w:rFonts w:ascii="Times New Roman" w:eastAsia="標楷體" w:hAnsi="Times New Roman" w:hint="eastAsia"/>
                <w:kern w:val="0"/>
                <w:sz w:val="20"/>
                <w:szCs w:val="20"/>
              </w:rPr>
              <w:t>曾志朗院士</w:t>
            </w:r>
          </w:p>
          <w:p w:rsidR="00FC0D5F" w:rsidRPr="003654B8" w:rsidRDefault="00FC0D5F" w:rsidP="003654B8">
            <w:pPr>
              <w:ind w:leftChars="100" w:left="240"/>
              <w:rPr>
                <w:rFonts w:ascii="Times New Roman" w:eastAsia="標楷體" w:hAnsi="Times New Roman"/>
                <w:kern w:val="0"/>
                <w:sz w:val="20"/>
                <w:szCs w:val="20"/>
              </w:rPr>
            </w:pPr>
            <w:r w:rsidRPr="003654B8">
              <w:rPr>
                <w:rFonts w:ascii="Times New Roman" w:eastAsia="標楷體" w:hAnsi="Times New Roman" w:hint="eastAsia"/>
                <w:kern w:val="0"/>
                <w:sz w:val="20"/>
                <w:szCs w:val="20"/>
              </w:rPr>
              <w:t>中央研究院語言學研究所</w:t>
            </w:r>
          </w:p>
        </w:tc>
      </w:tr>
      <w:tr w:rsidR="00FC0D5F" w:rsidRPr="00B16F6D" w:rsidTr="003654B8">
        <w:trPr>
          <w:trHeight w:val="360"/>
        </w:trPr>
        <w:tc>
          <w:tcPr>
            <w:tcW w:w="1418" w:type="dxa"/>
            <w:vMerge w:val="restart"/>
            <w:vAlign w:val="center"/>
          </w:tcPr>
          <w:p w:rsidR="00FC0D5F" w:rsidRPr="003654B8" w:rsidRDefault="00FC0D5F" w:rsidP="003654B8">
            <w:pPr>
              <w:jc w:val="center"/>
              <w:rPr>
                <w:rFonts w:ascii="Times New Roman" w:eastAsia="標楷體" w:hAnsi="Times New Roman"/>
                <w:kern w:val="0"/>
                <w:sz w:val="20"/>
                <w:szCs w:val="20"/>
              </w:rPr>
            </w:pPr>
            <w:r w:rsidRPr="003654B8">
              <w:rPr>
                <w:rFonts w:ascii="Times New Roman" w:eastAsia="標楷體" w:hAnsi="Times New Roman"/>
                <w:kern w:val="0"/>
                <w:sz w:val="20"/>
                <w:szCs w:val="20"/>
              </w:rPr>
              <w:t>10:00-10:50</w:t>
            </w:r>
          </w:p>
        </w:tc>
        <w:tc>
          <w:tcPr>
            <w:tcW w:w="7749" w:type="dxa"/>
            <w:gridSpan w:val="2"/>
            <w:tcBorders>
              <w:bottom w:val="nil"/>
              <w:right w:val="single" w:sz="6" w:space="0" w:color="auto"/>
            </w:tcBorders>
          </w:tcPr>
          <w:p w:rsidR="00FC0D5F" w:rsidRPr="003654B8" w:rsidRDefault="00FC0D5F" w:rsidP="0024577C">
            <w:pPr>
              <w:rPr>
                <w:rFonts w:ascii="Times New Roman" w:eastAsia="標楷體" w:hAnsi="Times New Roman"/>
                <w:b/>
                <w:kern w:val="0"/>
                <w:sz w:val="20"/>
                <w:szCs w:val="20"/>
              </w:rPr>
            </w:pPr>
            <w:r w:rsidRPr="003654B8">
              <w:rPr>
                <w:rFonts w:ascii="Times New Roman" w:eastAsia="標楷體" w:hAnsi="Times New Roman" w:hint="eastAsia"/>
                <w:b/>
                <w:kern w:val="0"/>
                <w:sz w:val="20"/>
                <w:szCs w:val="20"/>
              </w:rPr>
              <w:t>專題演講二</w:t>
            </w:r>
          </w:p>
          <w:p w:rsidR="00FC0D5F" w:rsidRPr="003654B8" w:rsidRDefault="00FC0D5F" w:rsidP="003654B8">
            <w:pPr>
              <w:ind w:leftChars="100" w:left="240"/>
              <w:rPr>
                <w:rFonts w:ascii="Times New Roman" w:eastAsia="標楷體" w:hAnsi="Times New Roman"/>
                <w:b/>
                <w:i/>
                <w:kern w:val="0"/>
                <w:sz w:val="20"/>
                <w:szCs w:val="20"/>
              </w:rPr>
            </w:pPr>
            <w:r w:rsidRPr="003654B8">
              <w:rPr>
                <w:rFonts w:ascii="Times New Roman" w:hAnsi="Times New Roman"/>
                <w:b/>
                <w:i/>
                <w:color w:val="222222"/>
                <w:kern w:val="0"/>
                <w:sz w:val="20"/>
                <w:szCs w:val="24"/>
                <w:shd w:val="clear" w:color="auto" w:fill="FFFFFF"/>
              </w:rPr>
              <w:t>How 21</w:t>
            </w:r>
            <w:r w:rsidRPr="003654B8">
              <w:rPr>
                <w:rFonts w:ascii="Times New Roman" w:hAnsi="Times New Roman"/>
                <w:b/>
                <w:i/>
                <w:color w:val="222222"/>
                <w:kern w:val="0"/>
                <w:sz w:val="20"/>
                <w:szCs w:val="24"/>
                <w:shd w:val="clear" w:color="auto" w:fill="FFFFFF"/>
                <w:vertAlign w:val="superscript"/>
              </w:rPr>
              <w:t>st</w:t>
            </w:r>
            <w:r w:rsidRPr="003654B8">
              <w:rPr>
                <w:rStyle w:val="apple-converted-space"/>
                <w:rFonts w:ascii="Times New Roman" w:hAnsi="Times New Roman"/>
                <w:b/>
                <w:i/>
                <w:color w:val="222222"/>
                <w:kern w:val="0"/>
                <w:sz w:val="20"/>
                <w:szCs w:val="24"/>
                <w:shd w:val="clear" w:color="auto" w:fill="FFFFFF"/>
              </w:rPr>
              <w:t> </w:t>
            </w:r>
            <w:r w:rsidRPr="003654B8">
              <w:rPr>
                <w:rFonts w:ascii="Times New Roman" w:hAnsi="Times New Roman"/>
                <w:b/>
                <w:i/>
                <w:color w:val="222222"/>
                <w:kern w:val="0"/>
                <w:sz w:val="20"/>
                <w:szCs w:val="24"/>
                <w:shd w:val="clear" w:color="auto" w:fill="FFFFFF"/>
              </w:rPr>
              <w:t>Century Competences are Developed in East Asian Education Systems?</w:t>
            </w:r>
          </w:p>
        </w:tc>
      </w:tr>
      <w:tr w:rsidR="00FC0D5F" w:rsidRPr="00B16F6D" w:rsidTr="003654B8">
        <w:trPr>
          <w:trHeight w:val="360"/>
        </w:trPr>
        <w:tc>
          <w:tcPr>
            <w:tcW w:w="1418" w:type="dxa"/>
            <w:vMerge/>
            <w:vAlign w:val="center"/>
          </w:tcPr>
          <w:p w:rsidR="00FC0D5F" w:rsidRPr="003654B8" w:rsidRDefault="00FC0D5F" w:rsidP="003654B8">
            <w:pPr>
              <w:jc w:val="center"/>
              <w:rPr>
                <w:rFonts w:ascii="Times New Roman" w:eastAsia="標楷體" w:hAnsi="Times New Roman"/>
                <w:kern w:val="0"/>
                <w:sz w:val="20"/>
                <w:szCs w:val="20"/>
              </w:rPr>
            </w:pPr>
          </w:p>
        </w:tc>
        <w:tc>
          <w:tcPr>
            <w:tcW w:w="1985" w:type="dxa"/>
            <w:tcBorders>
              <w:top w:val="nil"/>
              <w:right w:val="nil"/>
            </w:tcBorders>
          </w:tcPr>
          <w:p w:rsidR="00FC0D5F" w:rsidRPr="003654B8" w:rsidRDefault="00FC0D5F" w:rsidP="0024577C">
            <w:pPr>
              <w:rPr>
                <w:rFonts w:ascii="Times New Roman" w:eastAsia="標楷體" w:hAnsi="Times New Roman"/>
                <w:kern w:val="0"/>
                <w:sz w:val="20"/>
                <w:szCs w:val="20"/>
              </w:rPr>
            </w:pPr>
            <w:r w:rsidRPr="003654B8">
              <w:rPr>
                <w:rFonts w:ascii="Times New Roman" w:eastAsia="標楷體" w:hAnsi="Times New Roman" w:hint="eastAsia"/>
                <w:color w:val="595959"/>
                <w:kern w:val="0"/>
                <w:sz w:val="20"/>
                <w:szCs w:val="20"/>
              </w:rPr>
              <w:t>主講人</w:t>
            </w:r>
          </w:p>
        </w:tc>
        <w:tc>
          <w:tcPr>
            <w:tcW w:w="5764" w:type="dxa"/>
            <w:tcBorders>
              <w:top w:val="nil"/>
              <w:left w:val="nil"/>
              <w:right w:val="single" w:sz="6" w:space="0" w:color="auto"/>
            </w:tcBorders>
          </w:tcPr>
          <w:p w:rsidR="00FC0D5F" w:rsidRPr="003654B8" w:rsidRDefault="00FC0D5F" w:rsidP="0024577C">
            <w:pPr>
              <w:rPr>
                <w:rFonts w:ascii="Times New Roman" w:eastAsia="標楷體" w:hAnsi="Times New Roman"/>
                <w:kern w:val="0"/>
                <w:sz w:val="20"/>
                <w:szCs w:val="20"/>
              </w:rPr>
            </w:pPr>
            <w:r w:rsidRPr="003654B8">
              <w:rPr>
                <w:rFonts w:ascii="Times New Roman" w:eastAsia="標楷體" w:hAnsi="Times New Roman" w:hint="eastAsia"/>
                <w:kern w:val="0"/>
                <w:sz w:val="20"/>
                <w:szCs w:val="20"/>
              </w:rPr>
              <w:t>李榮安副校長</w:t>
            </w:r>
          </w:p>
          <w:p w:rsidR="00FC0D5F" w:rsidRPr="003654B8" w:rsidRDefault="00FC0D5F" w:rsidP="003654B8">
            <w:pPr>
              <w:ind w:leftChars="100" w:left="240"/>
              <w:rPr>
                <w:rFonts w:ascii="Times New Roman" w:eastAsia="標楷體" w:hAnsi="Times New Roman"/>
                <w:kern w:val="0"/>
                <w:sz w:val="20"/>
                <w:szCs w:val="20"/>
              </w:rPr>
            </w:pPr>
            <w:r w:rsidRPr="003654B8">
              <w:rPr>
                <w:rFonts w:ascii="Times New Roman" w:eastAsia="標楷體" w:hAnsi="Times New Roman" w:hint="eastAsia"/>
                <w:kern w:val="0"/>
                <w:sz w:val="20"/>
                <w:szCs w:val="20"/>
              </w:rPr>
              <w:t>香港開放大學</w:t>
            </w:r>
          </w:p>
        </w:tc>
      </w:tr>
      <w:tr w:rsidR="00FC0D5F" w:rsidRPr="00B16F6D" w:rsidTr="003654B8">
        <w:tc>
          <w:tcPr>
            <w:tcW w:w="1418" w:type="dxa"/>
            <w:vAlign w:val="center"/>
          </w:tcPr>
          <w:p w:rsidR="00FC0D5F" w:rsidRPr="003654B8" w:rsidRDefault="00FC0D5F" w:rsidP="003654B8">
            <w:pPr>
              <w:spacing w:line="360" w:lineRule="auto"/>
              <w:jc w:val="center"/>
              <w:rPr>
                <w:rFonts w:ascii="Times New Roman" w:eastAsia="標楷體" w:hAnsi="Times New Roman"/>
                <w:kern w:val="0"/>
                <w:sz w:val="20"/>
                <w:szCs w:val="20"/>
              </w:rPr>
            </w:pPr>
            <w:r w:rsidRPr="003654B8">
              <w:rPr>
                <w:rFonts w:ascii="Times New Roman" w:eastAsia="標楷體" w:hAnsi="Times New Roman"/>
                <w:kern w:val="0"/>
                <w:sz w:val="20"/>
                <w:szCs w:val="20"/>
              </w:rPr>
              <w:t>10:50-11:10</w:t>
            </w:r>
          </w:p>
        </w:tc>
        <w:tc>
          <w:tcPr>
            <w:tcW w:w="7749" w:type="dxa"/>
            <w:gridSpan w:val="2"/>
          </w:tcPr>
          <w:p w:rsidR="00FC0D5F" w:rsidRPr="003654B8" w:rsidRDefault="00FC0D5F" w:rsidP="003654B8">
            <w:pPr>
              <w:spacing w:line="360" w:lineRule="auto"/>
              <w:rPr>
                <w:rFonts w:ascii="Times New Roman" w:eastAsia="標楷體" w:hAnsi="Times New Roman"/>
                <w:b/>
                <w:kern w:val="0"/>
                <w:sz w:val="20"/>
                <w:szCs w:val="20"/>
              </w:rPr>
            </w:pPr>
            <w:r w:rsidRPr="003654B8">
              <w:rPr>
                <w:rFonts w:ascii="Times New Roman" w:eastAsia="標楷體" w:hAnsi="Times New Roman" w:hint="eastAsia"/>
                <w:b/>
                <w:kern w:val="0"/>
                <w:sz w:val="20"/>
                <w:szCs w:val="20"/>
              </w:rPr>
              <w:t>茶敘</w:t>
            </w:r>
          </w:p>
        </w:tc>
      </w:tr>
      <w:tr w:rsidR="00FC0D5F" w:rsidRPr="00B16F6D" w:rsidTr="003654B8">
        <w:trPr>
          <w:trHeight w:val="540"/>
        </w:trPr>
        <w:tc>
          <w:tcPr>
            <w:tcW w:w="1418" w:type="dxa"/>
            <w:vMerge w:val="restart"/>
            <w:vAlign w:val="center"/>
          </w:tcPr>
          <w:p w:rsidR="00FC0D5F" w:rsidRPr="003654B8" w:rsidRDefault="00FC0D5F" w:rsidP="003654B8">
            <w:pPr>
              <w:jc w:val="center"/>
              <w:rPr>
                <w:rFonts w:ascii="Times New Roman" w:eastAsia="標楷體" w:hAnsi="Times New Roman"/>
                <w:kern w:val="0"/>
                <w:sz w:val="20"/>
                <w:szCs w:val="20"/>
              </w:rPr>
            </w:pPr>
            <w:r w:rsidRPr="003654B8">
              <w:rPr>
                <w:rFonts w:ascii="Times New Roman" w:eastAsia="標楷體" w:hAnsi="Times New Roman"/>
                <w:kern w:val="0"/>
                <w:sz w:val="20"/>
                <w:szCs w:val="20"/>
              </w:rPr>
              <w:t>11:10-12:30</w:t>
            </w:r>
          </w:p>
        </w:tc>
        <w:tc>
          <w:tcPr>
            <w:tcW w:w="7749" w:type="dxa"/>
            <w:gridSpan w:val="2"/>
            <w:tcBorders>
              <w:bottom w:val="nil"/>
              <w:right w:val="single" w:sz="6" w:space="0" w:color="auto"/>
            </w:tcBorders>
          </w:tcPr>
          <w:p w:rsidR="00FC0D5F" w:rsidRPr="003654B8" w:rsidRDefault="00FC0D5F" w:rsidP="0024577C">
            <w:pPr>
              <w:rPr>
                <w:rFonts w:ascii="Times New Roman" w:eastAsia="標楷體" w:hAnsi="Times New Roman"/>
                <w:b/>
                <w:kern w:val="0"/>
                <w:sz w:val="20"/>
                <w:szCs w:val="20"/>
              </w:rPr>
            </w:pPr>
            <w:r w:rsidRPr="003654B8">
              <w:rPr>
                <w:rFonts w:ascii="Times New Roman" w:eastAsia="標楷體" w:hAnsi="Times New Roman" w:hint="eastAsia"/>
                <w:b/>
                <w:kern w:val="0"/>
                <w:sz w:val="20"/>
                <w:szCs w:val="20"/>
              </w:rPr>
              <w:t>圓桌論壇一</w:t>
            </w:r>
            <w:r w:rsidRPr="003654B8">
              <w:rPr>
                <w:rFonts w:ascii="Times New Roman" w:eastAsia="標楷體" w:hAnsi="Times New Roman"/>
                <w:b/>
                <w:kern w:val="0"/>
                <w:sz w:val="20"/>
                <w:szCs w:val="20"/>
              </w:rPr>
              <w:t xml:space="preserve">: </w:t>
            </w:r>
            <w:r w:rsidRPr="003654B8">
              <w:rPr>
                <w:rFonts w:ascii="Times New Roman" w:eastAsia="標楷體" w:hAnsi="Times New Roman" w:hint="eastAsia"/>
                <w:b/>
                <w:kern w:val="0"/>
                <w:sz w:val="20"/>
                <w:szCs w:val="20"/>
              </w:rPr>
              <w:t>能力、知能與素養</w:t>
            </w:r>
            <w:r w:rsidRPr="003654B8">
              <w:rPr>
                <w:rFonts w:ascii="Times New Roman" w:eastAsia="標楷體" w:hAnsi="Times New Roman"/>
                <w:b/>
                <w:kern w:val="0"/>
                <w:sz w:val="20"/>
                <w:szCs w:val="20"/>
              </w:rPr>
              <w:t xml:space="preserve">: </w:t>
            </w:r>
            <w:r w:rsidRPr="003654B8">
              <w:rPr>
                <w:rFonts w:ascii="Times New Roman" w:eastAsia="標楷體" w:hAnsi="Times New Roman" w:hint="eastAsia"/>
                <w:b/>
                <w:kern w:val="0"/>
                <w:sz w:val="20"/>
                <w:szCs w:val="20"/>
              </w:rPr>
              <w:t>定義與意涵</w:t>
            </w:r>
            <w:r w:rsidRPr="003654B8">
              <w:rPr>
                <w:rFonts w:ascii="Times New Roman" w:eastAsia="標楷體" w:hAnsi="Times New Roman"/>
                <w:b/>
                <w:kern w:val="0"/>
                <w:sz w:val="20"/>
                <w:szCs w:val="20"/>
              </w:rPr>
              <w:t xml:space="preserve"> </w:t>
            </w:r>
          </w:p>
        </w:tc>
      </w:tr>
      <w:tr w:rsidR="00FC0D5F" w:rsidRPr="00B16F6D" w:rsidTr="003654B8">
        <w:trPr>
          <w:trHeight w:val="540"/>
        </w:trPr>
        <w:tc>
          <w:tcPr>
            <w:tcW w:w="1418" w:type="dxa"/>
            <w:vMerge/>
            <w:vAlign w:val="center"/>
          </w:tcPr>
          <w:p w:rsidR="00FC0D5F" w:rsidRPr="003654B8" w:rsidRDefault="00FC0D5F" w:rsidP="003654B8">
            <w:pPr>
              <w:jc w:val="center"/>
              <w:rPr>
                <w:rFonts w:ascii="Times New Roman" w:eastAsia="標楷體" w:hAnsi="Times New Roman"/>
                <w:kern w:val="0"/>
                <w:sz w:val="20"/>
                <w:szCs w:val="20"/>
              </w:rPr>
            </w:pPr>
          </w:p>
        </w:tc>
        <w:tc>
          <w:tcPr>
            <w:tcW w:w="1985" w:type="dxa"/>
            <w:tcBorders>
              <w:top w:val="nil"/>
              <w:bottom w:val="nil"/>
              <w:right w:val="nil"/>
            </w:tcBorders>
          </w:tcPr>
          <w:p w:rsidR="00FC0D5F" w:rsidRPr="003654B8" w:rsidRDefault="00FC0D5F" w:rsidP="003654B8">
            <w:pPr>
              <w:ind w:firstLineChars="100" w:firstLine="200"/>
              <w:rPr>
                <w:rFonts w:ascii="Times New Roman" w:eastAsia="標楷體" w:hAnsi="Times New Roman"/>
                <w:kern w:val="0"/>
                <w:sz w:val="20"/>
                <w:szCs w:val="20"/>
              </w:rPr>
            </w:pPr>
            <w:r w:rsidRPr="003654B8">
              <w:rPr>
                <w:rFonts w:ascii="Times New Roman" w:eastAsia="標楷體" w:hAnsi="Times New Roman" w:hint="eastAsia"/>
                <w:color w:val="595959"/>
                <w:kern w:val="0"/>
                <w:sz w:val="20"/>
                <w:szCs w:val="20"/>
              </w:rPr>
              <w:t>引言人</w:t>
            </w:r>
          </w:p>
        </w:tc>
        <w:tc>
          <w:tcPr>
            <w:tcW w:w="5764" w:type="dxa"/>
            <w:tcBorders>
              <w:top w:val="nil"/>
              <w:left w:val="nil"/>
              <w:bottom w:val="nil"/>
              <w:right w:val="single" w:sz="6" w:space="0" w:color="auto"/>
            </w:tcBorders>
          </w:tcPr>
          <w:p w:rsidR="00FC0D5F" w:rsidRPr="003654B8" w:rsidRDefault="00FC0D5F" w:rsidP="0024577C">
            <w:pPr>
              <w:rPr>
                <w:rFonts w:ascii="Times New Roman" w:eastAsia="標楷體" w:hAnsi="Times New Roman"/>
                <w:kern w:val="0"/>
                <w:sz w:val="20"/>
                <w:szCs w:val="20"/>
              </w:rPr>
            </w:pPr>
            <w:r w:rsidRPr="003654B8">
              <w:rPr>
                <w:rFonts w:ascii="Times New Roman" w:eastAsia="標楷體" w:hAnsi="Times New Roman" w:hint="eastAsia"/>
                <w:kern w:val="0"/>
                <w:sz w:val="20"/>
                <w:szCs w:val="20"/>
              </w:rPr>
              <w:t>甄曉蘭教授兼系主任</w:t>
            </w:r>
          </w:p>
          <w:p w:rsidR="00FC0D5F" w:rsidRPr="003654B8" w:rsidRDefault="00FC0D5F" w:rsidP="003654B8">
            <w:pPr>
              <w:ind w:leftChars="100" w:left="240"/>
              <w:rPr>
                <w:rFonts w:ascii="Times New Roman" w:eastAsia="標楷體" w:hAnsi="Times New Roman"/>
                <w:kern w:val="0"/>
                <w:sz w:val="20"/>
                <w:szCs w:val="20"/>
              </w:rPr>
            </w:pPr>
            <w:r w:rsidRPr="003654B8">
              <w:rPr>
                <w:rFonts w:ascii="Times New Roman" w:eastAsia="標楷體" w:hAnsi="Times New Roman" w:hint="eastAsia"/>
                <w:kern w:val="0"/>
                <w:sz w:val="20"/>
                <w:szCs w:val="20"/>
              </w:rPr>
              <w:t>國立臺灣師範大學教育學系</w:t>
            </w:r>
          </w:p>
        </w:tc>
      </w:tr>
      <w:tr w:rsidR="00FC0D5F" w:rsidRPr="00B16F6D" w:rsidTr="003654B8">
        <w:trPr>
          <w:trHeight w:val="540"/>
        </w:trPr>
        <w:tc>
          <w:tcPr>
            <w:tcW w:w="1418" w:type="dxa"/>
            <w:vMerge/>
            <w:vAlign w:val="center"/>
          </w:tcPr>
          <w:p w:rsidR="00FC0D5F" w:rsidRPr="003654B8" w:rsidRDefault="00FC0D5F" w:rsidP="003654B8">
            <w:pPr>
              <w:jc w:val="center"/>
              <w:rPr>
                <w:rFonts w:ascii="Times New Roman" w:eastAsia="標楷體" w:hAnsi="Times New Roman"/>
                <w:kern w:val="0"/>
                <w:sz w:val="20"/>
                <w:szCs w:val="20"/>
              </w:rPr>
            </w:pPr>
          </w:p>
        </w:tc>
        <w:tc>
          <w:tcPr>
            <w:tcW w:w="1985" w:type="dxa"/>
            <w:tcBorders>
              <w:top w:val="nil"/>
              <w:right w:val="nil"/>
            </w:tcBorders>
          </w:tcPr>
          <w:p w:rsidR="00FC0D5F" w:rsidRPr="003654B8" w:rsidRDefault="00FC0D5F" w:rsidP="003654B8">
            <w:pPr>
              <w:ind w:firstLineChars="100" w:firstLine="200"/>
              <w:rPr>
                <w:rFonts w:ascii="Times New Roman" w:eastAsia="標楷體" w:hAnsi="Times New Roman"/>
                <w:kern w:val="0"/>
                <w:sz w:val="20"/>
                <w:szCs w:val="20"/>
              </w:rPr>
            </w:pPr>
            <w:r w:rsidRPr="003654B8">
              <w:rPr>
                <w:rFonts w:ascii="Times New Roman" w:eastAsia="標楷體" w:hAnsi="Times New Roman" w:hint="eastAsia"/>
                <w:color w:val="595959"/>
                <w:kern w:val="0"/>
                <w:sz w:val="20"/>
                <w:szCs w:val="20"/>
              </w:rPr>
              <w:t>與談人</w:t>
            </w:r>
          </w:p>
        </w:tc>
        <w:tc>
          <w:tcPr>
            <w:tcW w:w="5764" w:type="dxa"/>
            <w:tcBorders>
              <w:top w:val="nil"/>
              <w:left w:val="nil"/>
              <w:right w:val="single" w:sz="6" w:space="0" w:color="auto"/>
            </w:tcBorders>
          </w:tcPr>
          <w:p w:rsidR="00FC0D5F" w:rsidRPr="003654B8" w:rsidRDefault="00FC0D5F" w:rsidP="0024577C">
            <w:pPr>
              <w:rPr>
                <w:rFonts w:ascii="Times New Roman" w:eastAsia="標楷體" w:hAnsi="Times New Roman"/>
                <w:kern w:val="0"/>
                <w:sz w:val="20"/>
                <w:szCs w:val="20"/>
              </w:rPr>
            </w:pPr>
            <w:r w:rsidRPr="003654B8">
              <w:rPr>
                <w:rFonts w:ascii="Times New Roman" w:eastAsia="標楷體" w:hAnsi="Times New Roman" w:hint="eastAsia"/>
                <w:kern w:val="0"/>
                <w:sz w:val="20"/>
                <w:szCs w:val="20"/>
              </w:rPr>
              <w:t>曾志朗院士</w:t>
            </w:r>
          </w:p>
          <w:p w:rsidR="00FC0D5F" w:rsidRPr="003654B8" w:rsidRDefault="00FC0D5F" w:rsidP="003654B8">
            <w:pPr>
              <w:ind w:leftChars="100" w:left="240"/>
              <w:rPr>
                <w:rFonts w:ascii="Times New Roman" w:eastAsia="標楷體" w:hAnsi="Times New Roman"/>
                <w:kern w:val="0"/>
                <w:sz w:val="20"/>
                <w:szCs w:val="20"/>
              </w:rPr>
            </w:pPr>
            <w:r w:rsidRPr="003654B8">
              <w:rPr>
                <w:rFonts w:ascii="Times New Roman" w:eastAsia="標楷體" w:hAnsi="Times New Roman" w:hint="eastAsia"/>
                <w:kern w:val="0"/>
                <w:sz w:val="20"/>
                <w:szCs w:val="20"/>
              </w:rPr>
              <w:t>中央研究院</w:t>
            </w:r>
            <w:r w:rsidRPr="003654B8">
              <w:rPr>
                <w:rFonts w:ascii="Times New Roman" w:eastAsia="標楷體" w:hAnsi="Times New Roman"/>
                <w:kern w:val="0"/>
                <w:sz w:val="20"/>
                <w:szCs w:val="20"/>
              </w:rPr>
              <w:t xml:space="preserve"> </w:t>
            </w:r>
            <w:r w:rsidRPr="003654B8">
              <w:rPr>
                <w:rFonts w:ascii="Times New Roman" w:eastAsia="標楷體" w:hAnsi="Times New Roman" w:hint="eastAsia"/>
                <w:kern w:val="0"/>
                <w:sz w:val="20"/>
                <w:szCs w:val="20"/>
              </w:rPr>
              <w:t>語言學研究所</w:t>
            </w:r>
          </w:p>
          <w:p w:rsidR="00FC0D5F" w:rsidRPr="003654B8" w:rsidRDefault="00FC0D5F" w:rsidP="0024577C">
            <w:pPr>
              <w:rPr>
                <w:rFonts w:ascii="Times New Roman" w:eastAsia="標楷體" w:hAnsi="Times New Roman"/>
                <w:kern w:val="0"/>
                <w:sz w:val="20"/>
                <w:szCs w:val="20"/>
              </w:rPr>
            </w:pPr>
            <w:r w:rsidRPr="003654B8">
              <w:rPr>
                <w:rFonts w:ascii="Times New Roman" w:eastAsia="標楷體" w:hAnsi="Times New Roman" w:hint="eastAsia"/>
                <w:kern w:val="0"/>
                <w:sz w:val="20"/>
                <w:szCs w:val="20"/>
              </w:rPr>
              <w:t>程介明院長</w:t>
            </w:r>
          </w:p>
          <w:p w:rsidR="00FC0D5F" w:rsidRPr="003654B8" w:rsidRDefault="00FC0D5F" w:rsidP="003654B8">
            <w:pPr>
              <w:ind w:leftChars="100" w:left="240"/>
              <w:rPr>
                <w:rFonts w:ascii="Times New Roman" w:eastAsia="標楷體" w:hAnsi="Times New Roman"/>
                <w:kern w:val="0"/>
                <w:sz w:val="20"/>
                <w:szCs w:val="20"/>
              </w:rPr>
            </w:pPr>
            <w:r w:rsidRPr="003654B8">
              <w:rPr>
                <w:rFonts w:ascii="Times New Roman" w:eastAsia="標楷體" w:hAnsi="Times New Roman" w:hint="eastAsia"/>
                <w:kern w:val="0"/>
                <w:sz w:val="20"/>
                <w:szCs w:val="20"/>
              </w:rPr>
              <w:t>香港大學栢立基學院</w:t>
            </w:r>
          </w:p>
          <w:p w:rsidR="00FC0D5F" w:rsidRPr="003654B8" w:rsidRDefault="00FC0D5F" w:rsidP="0024577C">
            <w:pPr>
              <w:rPr>
                <w:rFonts w:ascii="Times New Roman" w:eastAsia="標楷體" w:hAnsi="Times New Roman"/>
                <w:kern w:val="0"/>
                <w:sz w:val="20"/>
                <w:szCs w:val="20"/>
              </w:rPr>
            </w:pPr>
            <w:r w:rsidRPr="003654B8">
              <w:rPr>
                <w:rFonts w:ascii="Times New Roman" w:eastAsia="標楷體" w:hAnsi="Times New Roman" w:hint="eastAsia"/>
                <w:kern w:val="0"/>
                <w:sz w:val="20"/>
                <w:szCs w:val="20"/>
              </w:rPr>
              <w:t>李榮安副校長</w:t>
            </w:r>
          </w:p>
          <w:p w:rsidR="00FC0D5F" w:rsidRPr="003654B8" w:rsidRDefault="00FC0D5F" w:rsidP="003654B8">
            <w:pPr>
              <w:ind w:leftChars="100" w:left="240"/>
              <w:rPr>
                <w:rFonts w:ascii="Times New Roman" w:eastAsia="標楷體" w:hAnsi="Times New Roman"/>
                <w:kern w:val="0"/>
                <w:sz w:val="20"/>
                <w:szCs w:val="20"/>
              </w:rPr>
            </w:pPr>
            <w:r w:rsidRPr="003654B8">
              <w:rPr>
                <w:rFonts w:ascii="Times New Roman" w:eastAsia="標楷體" w:hAnsi="Times New Roman" w:hint="eastAsia"/>
                <w:kern w:val="0"/>
                <w:sz w:val="20"/>
                <w:szCs w:val="20"/>
              </w:rPr>
              <w:t>香港開放大學</w:t>
            </w:r>
          </w:p>
          <w:p w:rsidR="00FC0D5F" w:rsidRPr="003654B8" w:rsidRDefault="00FC0D5F" w:rsidP="0024577C">
            <w:pPr>
              <w:rPr>
                <w:rFonts w:ascii="Times New Roman" w:eastAsia="標楷體" w:hAnsi="Times New Roman"/>
                <w:kern w:val="0"/>
                <w:sz w:val="20"/>
                <w:szCs w:val="20"/>
              </w:rPr>
            </w:pPr>
            <w:r w:rsidRPr="003654B8">
              <w:rPr>
                <w:rFonts w:ascii="Times New Roman" w:eastAsia="標楷體" w:hAnsi="Times New Roman"/>
                <w:kern w:val="0"/>
                <w:sz w:val="20"/>
                <w:szCs w:val="20"/>
              </w:rPr>
              <w:t>Prof. Liz Jackson</w:t>
            </w:r>
          </w:p>
          <w:p w:rsidR="00FC0D5F" w:rsidRPr="003654B8" w:rsidRDefault="00FC0D5F" w:rsidP="003654B8">
            <w:pPr>
              <w:ind w:leftChars="100" w:left="240"/>
              <w:rPr>
                <w:rFonts w:ascii="Times New Roman" w:eastAsia="標楷體" w:hAnsi="Times New Roman"/>
                <w:kern w:val="0"/>
                <w:sz w:val="20"/>
                <w:szCs w:val="20"/>
              </w:rPr>
            </w:pPr>
            <w:r w:rsidRPr="003654B8">
              <w:rPr>
                <w:rFonts w:ascii="Times New Roman" w:eastAsia="標楷體" w:hAnsi="Times New Roman" w:hint="eastAsia"/>
                <w:kern w:val="0"/>
                <w:sz w:val="20"/>
                <w:szCs w:val="20"/>
              </w:rPr>
              <w:t>香港大學教育學院</w:t>
            </w:r>
          </w:p>
        </w:tc>
      </w:tr>
      <w:tr w:rsidR="00FC0D5F" w:rsidRPr="00B16F6D" w:rsidTr="003654B8">
        <w:trPr>
          <w:trHeight w:val="652"/>
        </w:trPr>
        <w:tc>
          <w:tcPr>
            <w:tcW w:w="1418" w:type="dxa"/>
            <w:vAlign w:val="center"/>
          </w:tcPr>
          <w:p w:rsidR="00FC0D5F" w:rsidRPr="003654B8" w:rsidRDefault="00FC0D5F" w:rsidP="003654B8">
            <w:pPr>
              <w:spacing w:line="360" w:lineRule="auto"/>
              <w:jc w:val="center"/>
              <w:rPr>
                <w:rFonts w:ascii="Times New Roman" w:eastAsia="標楷體" w:hAnsi="Times New Roman"/>
                <w:kern w:val="0"/>
                <w:sz w:val="20"/>
                <w:szCs w:val="20"/>
              </w:rPr>
            </w:pPr>
            <w:r w:rsidRPr="003654B8">
              <w:rPr>
                <w:rFonts w:ascii="Times New Roman" w:eastAsia="標楷體" w:hAnsi="Times New Roman"/>
                <w:kern w:val="0"/>
                <w:sz w:val="20"/>
                <w:szCs w:val="20"/>
              </w:rPr>
              <w:t>12:30-13:30</w:t>
            </w:r>
          </w:p>
        </w:tc>
        <w:tc>
          <w:tcPr>
            <w:tcW w:w="7749" w:type="dxa"/>
            <w:gridSpan w:val="2"/>
          </w:tcPr>
          <w:p w:rsidR="00FC0D5F" w:rsidRPr="003654B8" w:rsidRDefault="00FC0D5F" w:rsidP="003654B8">
            <w:pPr>
              <w:spacing w:line="360" w:lineRule="auto"/>
              <w:rPr>
                <w:rFonts w:ascii="Times New Roman" w:eastAsia="標楷體" w:hAnsi="Times New Roman"/>
                <w:b/>
                <w:kern w:val="0"/>
                <w:sz w:val="20"/>
                <w:szCs w:val="20"/>
              </w:rPr>
            </w:pPr>
            <w:r w:rsidRPr="003654B8">
              <w:rPr>
                <w:rFonts w:ascii="Times New Roman" w:eastAsia="標楷體" w:hAnsi="Times New Roman" w:hint="eastAsia"/>
                <w:b/>
                <w:kern w:val="0"/>
                <w:sz w:val="20"/>
                <w:szCs w:val="20"/>
              </w:rPr>
              <w:t>午餐</w:t>
            </w:r>
          </w:p>
        </w:tc>
      </w:tr>
      <w:tr w:rsidR="00FC0D5F" w:rsidRPr="00B16F6D" w:rsidTr="003654B8">
        <w:trPr>
          <w:trHeight w:val="45"/>
        </w:trPr>
        <w:tc>
          <w:tcPr>
            <w:tcW w:w="1418" w:type="dxa"/>
            <w:vMerge w:val="restart"/>
            <w:vAlign w:val="center"/>
          </w:tcPr>
          <w:p w:rsidR="00FC0D5F" w:rsidRPr="003654B8" w:rsidRDefault="00FC0D5F" w:rsidP="003654B8">
            <w:pPr>
              <w:jc w:val="center"/>
              <w:rPr>
                <w:rFonts w:ascii="Times New Roman" w:eastAsia="標楷體" w:hAnsi="Times New Roman"/>
                <w:kern w:val="0"/>
                <w:sz w:val="20"/>
                <w:szCs w:val="20"/>
              </w:rPr>
            </w:pPr>
            <w:r w:rsidRPr="003654B8">
              <w:rPr>
                <w:rFonts w:ascii="Times New Roman" w:eastAsia="標楷體" w:hAnsi="Times New Roman"/>
                <w:kern w:val="0"/>
                <w:sz w:val="20"/>
                <w:szCs w:val="20"/>
              </w:rPr>
              <w:t>13:30-15:30</w:t>
            </w:r>
          </w:p>
        </w:tc>
        <w:tc>
          <w:tcPr>
            <w:tcW w:w="7749" w:type="dxa"/>
            <w:gridSpan w:val="2"/>
            <w:tcBorders>
              <w:bottom w:val="nil"/>
              <w:right w:val="single" w:sz="6" w:space="0" w:color="auto"/>
            </w:tcBorders>
          </w:tcPr>
          <w:p w:rsidR="00FC0D5F" w:rsidRPr="003654B8" w:rsidRDefault="00FC0D5F" w:rsidP="0024577C">
            <w:pPr>
              <w:rPr>
                <w:rFonts w:ascii="Times New Roman" w:eastAsia="標楷體" w:hAnsi="Times New Roman"/>
                <w:b/>
                <w:kern w:val="0"/>
                <w:sz w:val="20"/>
                <w:szCs w:val="24"/>
              </w:rPr>
            </w:pPr>
            <w:r w:rsidRPr="003654B8">
              <w:rPr>
                <w:rFonts w:ascii="Times New Roman" w:eastAsia="標楷體" w:hAnsi="Times New Roman" w:hint="eastAsia"/>
                <w:b/>
                <w:kern w:val="0"/>
                <w:sz w:val="20"/>
                <w:szCs w:val="24"/>
              </w:rPr>
              <w:t>亞洲教育體系二十一世紀素養發展</w:t>
            </w:r>
          </w:p>
        </w:tc>
      </w:tr>
      <w:tr w:rsidR="00FC0D5F" w:rsidRPr="00B16F6D" w:rsidTr="003654B8">
        <w:trPr>
          <w:trHeight w:val="188"/>
        </w:trPr>
        <w:tc>
          <w:tcPr>
            <w:tcW w:w="1418" w:type="dxa"/>
            <w:vMerge/>
            <w:vAlign w:val="center"/>
          </w:tcPr>
          <w:p w:rsidR="00FC0D5F" w:rsidRPr="003654B8" w:rsidRDefault="00FC0D5F" w:rsidP="003654B8">
            <w:pPr>
              <w:jc w:val="center"/>
              <w:rPr>
                <w:rFonts w:ascii="Times New Roman" w:eastAsia="標楷體" w:hAnsi="Times New Roman"/>
                <w:kern w:val="0"/>
                <w:sz w:val="20"/>
                <w:szCs w:val="20"/>
              </w:rPr>
            </w:pPr>
          </w:p>
        </w:tc>
        <w:tc>
          <w:tcPr>
            <w:tcW w:w="7749" w:type="dxa"/>
            <w:gridSpan w:val="2"/>
            <w:tcBorders>
              <w:top w:val="nil"/>
              <w:bottom w:val="nil"/>
              <w:right w:val="single" w:sz="6" w:space="0" w:color="auto"/>
            </w:tcBorders>
          </w:tcPr>
          <w:p w:rsidR="00FC0D5F" w:rsidRPr="003654B8" w:rsidRDefault="00FC0D5F" w:rsidP="0024577C">
            <w:pPr>
              <w:rPr>
                <w:rFonts w:ascii="Times New Roman" w:eastAsia="標楷體" w:hAnsi="Times New Roman"/>
                <w:kern w:val="0"/>
                <w:sz w:val="20"/>
                <w:szCs w:val="20"/>
              </w:rPr>
            </w:pPr>
            <w:r w:rsidRPr="003654B8">
              <w:rPr>
                <w:rFonts w:ascii="Times New Roman" w:eastAsia="標楷體" w:hAnsi="Times New Roman"/>
                <w:kern w:val="0"/>
                <w:sz w:val="20"/>
                <w:szCs w:val="20"/>
              </w:rPr>
              <w:t xml:space="preserve">1. </w:t>
            </w:r>
            <w:r w:rsidRPr="003654B8">
              <w:rPr>
                <w:rFonts w:ascii="Times New Roman" w:eastAsia="標楷體" w:hAnsi="Times New Roman" w:hint="eastAsia"/>
                <w:b/>
                <w:kern w:val="0"/>
                <w:sz w:val="20"/>
                <w:szCs w:val="20"/>
              </w:rPr>
              <w:t>香港</w:t>
            </w:r>
          </w:p>
        </w:tc>
      </w:tr>
      <w:tr w:rsidR="00FC0D5F" w:rsidRPr="00B16F6D" w:rsidTr="003654B8">
        <w:trPr>
          <w:trHeight w:val="184"/>
        </w:trPr>
        <w:tc>
          <w:tcPr>
            <w:tcW w:w="1418" w:type="dxa"/>
            <w:vMerge/>
            <w:vAlign w:val="center"/>
          </w:tcPr>
          <w:p w:rsidR="00FC0D5F" w:rsidRPr="003654B8" w:rsidRDefault="00FC0D5F" w:rsidP="003654B8">
            <w:pPr>
              <w:jc w:val="center"/>
              <w:rPr>
                <w:rFonts w:ascii="Times New Roman" w:eastAsia="標楷體" w:hAnsi="Times New Roman"/>
                <w:kern w:val="0"/>
                <w:sz w:val="20"/>
                <w:szCs w:val="20"/>
              </w:rPr>
            </w:pPr>
          </w:p>
        </w:tc>
        <w:tc>
          <w:tcPr>
            <w:tcW w:w="1985" w:type="dxa"/>
            <w:tcBorders>
              <w:top w:val="nil"/>
              <w:bottom w:val="nil"/>
              <w:right w:val="nil"/>
            </w:tcBorders>
          </w:tcPr>
          <w:p w:rsidR="00FC0D5F" w:rsidRPr="003654B8" w:rsidRDefault="00FC0D5F" w:rsidP="003654B8">
            <w:pPr>
              <w:ind w:firstLineChars="100" w:firstLine="200"/>
              <w:rPr>
                <w:rFonts w:ascii="Times New Roman" w:eastAsia="標楷體" w:hAnsi="Times New Roman"/>
                <w:kern w:val="0"/>
                <w:sz w:val="20"/>
                <w:szCs w:val="20"/>
              </w:rPr>
            </w:pPr>
            <w:r w:rsidRPr="003654B8">
              <w:rPr>
                <w:rFonts w:ascii="Times New Roman" w:eastAsia="標楷體" w:hAnsi="Times New Roman" w:hint="eastAsia"/>
                <w:color w:val="595959"/>
                <w:kern w:val="0"/>
                <w:sz w:val="20"/>
                <w:szCs w:val="20"/>
              </w:rPr>
              <w:t>主講人</w:t>
            </w:r>
          </w:p>
        </w:tc>
        <w:tc>
          <w:tcPr>
            <w:tcW w:w="5764" w:type="dxa"/>
            <w:tcBorders>
              <w:top w:val="nil"/>
              <w:left w:val="nil"/>
              <w:bottom w:val="nil"/>
              <w:right w:val="single" w:sz="6" w:space="0" w:color="auto"/>
            </w:tcBorders>
          </w:tcPr>
          <w:p w:rsidR="00FC0D5F" w:rsidRPr="003654B8" w:rsidRDefault="00FC0D5F" w:rsidP="0024577C">
            <w:pPr>
              <w:rPr>
                <w:rFonts w:ascii="Times New Roman" w:eastAsia="標楷體" w:hAnsi="Times New Roman"/>
                <w:kern w:val="0"/>
                <w:sz w:val="20"/>
                <w:szCs w:val="20"/>
              </w:rPr>
            </w:pPr>
            <w:r w:rsidRPr="003654B8">
              <w:rPr>
                <w:rFonts w:ascii="Times New Roman" w:eastAsia="標楷體" w:hAnsi="Times New Roman"/>
                <w:kern w:val="0"/>
                <w:sz w:val="20"/>
                <w:szCs w:val="20"/>
              </w:rPr>
              <w:t>Prof. Liz Jackson</w:t>
            </w:r>
          </w:p>
          <w:p w:rsidR="00FC0D5F" w:rsidRPr="003654B8" w:rsidRDefault="00FC0D5F" w:rsidP="003654B8">
            <w:pPr>
              <w:ind w:leftChars="100" w:left="240"/>
              <w:rPr>
                <w:rFonts w:ascii="Times New Roman" w:eastAsia="標楷體" w:hAnsi="Times New Roman"/>
                <w:kern w:val="0"/>
                <w:sz w:val="20"/>
                <w:szCs w:val="20"/>
              </w:rPr>
            </w:pPr>
            <w:r w:rsidRPr="003654B8">
              <w:rPr>
                <w:rFonts w:ascii="Times New Roman" w:eastAsia="標楷體" w:hAnsi="Times New Roman" w:hint="eastAsia"/>
                <w:kern w:val="0"/>
                <w:sz w:val="20"/>
                <w:szCs w:val="20"/>
              </w:rPr>
              <w:t>香港大學教育學院</w:t>
            </w:r>
          </w:p>
        </w:tc>
      </w:tr>
      <w:tr w:rsidR="00FC0D5F" w:rsidRPr="00B16F6D" w:rsidTr="003654B8">
        <w:trPr>
          <w:trHeight w:val="184"/>
        </w:trPr>
        <w:tc>
          <w:tcPr>
            <w:tcW w:w="1418" w:type="dxa"/>
            <w:vMerge/>
            <w:vAlign w:val="center"/>
          </w:tcPr>
          <w:p w:rsidR="00FC0D5F" w:rsidRPr="003654B8" w:rsidRDefault="00FC0D5F" w:rsidP="003654B8">
            <w:pPr>
              <w:jc w:val="center"/>
              <w:rPr>
                <w:rFonts w:ascii="Times New Roman" w:eastAsia="標楷體" w:hAnsi="Times New Roman"/>
                <w:kern w:val="0"/>
                <w:sz w:val="20"/>
                <w:szCs w:val="20"/>
              </w:rPr>
            </w:pPr>
          </w:p>
        </w:tc>
        <w:tc>
          <w:tcPr>
            <w:tcW w:w="7749" w:type="dxa"/>
            <w:gridSpan w:val="2"/>
            <w:tcBorders>
              <w:top w:val="nil"/>
              <w:bottom w:val="nil"/>
              <w:right w:val="single" w:sz="6" w:space="0" w:color="auto"/>
            </w:tcBorders>
          </w:tcPr>
          <w:p w:rsidR="00FC0D5F" w:rsidRPr="003654B8" w:rsidRDefault="00FC0D5F" w:rsidP="0024577C">
            <w:pPr>
              <w:rPr>
                <w:rFonts w:ascii="Times New Roman" w:eastAsia="標楷體" w:hAnsi="Times New Roman"/>
                <w:kern w:val="0"/>
                <w:sz w:val="20"/>
                <w:szCs w:val="20"/>
              </w:rPr>
            </w:pPr>
            <w:r w:rsidRPr="003654B8">
              <w:rPr>
                <w:rFonts w:ascii="Times New Roman" w:eastAsia="標楷體" w:hAnsi="Times New Roman"/>
                <w:kern w:val="0"/>
                <w:sz w:val="20"/>
                <w:szCs w:val="20"/>
              </w:rPr>
              <w:t xml:space="preserve">2. </w:t>
            </w:r>
            <w:r w:rsidRPr="003654B8">
              <w:rPr>
                <w:rFonts w:ascii="Times New Roman" w:eastAsia="標楷體" w:hAnsi="Times New Roman" w:hint="eastAsia"/>
                <w:b/>
                <w:kern w:val="0"/>
                <w:sz w:val="20"/>
                <w:szCs w:val="20"/>
              </w:rPr>
              <w:t>日本</w:t>
            </w:r>
          </w:p>
        </w:tc>
      </w:tr>
      <w:tr w:rsidR="00FC0D5F" w:rsidRPr="00B16F6D" w:rsidTr="003654B8">
        <w:trPr>
          <w:trHeight w:val="184"/>
        </w:trPr>
        <w:tc>
          <w:tcPr>
            <w:tcW w:w="1418" w:type="dxa"/>
            <w:vMerge/>
            <w:vAlign w:val="center"/>
          </w:tcPr>
          <w:p w:rsidR="00FC0D5F" w:rsidRPr="003654B8" w:rsidRDefault="00FC0D5F" w:rsidP="003654B8">
            <w:pPr>
              <w:jc w:val="center"/>
              <w:rPr>
                <w:rFonts w:ascii="Times New Roman" w:eastAsia="標楷體" w:hAnsi="Times New Roman"/>
                <w:kern w:val="0"/>
                <w:sz w:val="20"/>
                <w:szCs w:val="20"/>
              </w:rPr>
            </w:pPr>
          </w:p>
        </w:tc>
        <w:tc>
          <w:tcPr>
            <w:tcW w:w="1985" w:type="dxa"/>
            <w:tcBorders>
              <w:top w:val="nil"/>
              <w:bottom w:val="nil"/>
              <w:right w:val="nil"/>
            </w:tcBorders>
          </w:tcPr>
          <w:p w:rsidR="00FC0D5F" w:rsidRPr="003654B8" w:rsidRDefault="00FC0D5F" w:rsidP="003654B8">
            <w:pPr>
              <w:ind w:firstLineChars="100" w:firstLine="200"/>
              <w:rPr>
                <w:rFonts w:ascii="Times New Roman" w:eastAsia="標楷體" w:hAnsi="Times New Roman"/>
                <w:kern w:val="0"/>
                <w:sz w:val="20"/>
                <w:szCs w:val="20"/>
              </w:rPr>
            </w:pPr>
            <w:r w:rsidRPr="003654B8">
              <w:rPr>
                <w:rFonts w:ascii="Times New Roman" w:eastAsia="標楷體" w:hAnsi="Times New Roman" w:hint="eastAsia"/>
                <w:color w:val="595959"/>
                <w:kern w:val="0"/>
                <w:sz w:val="20"/>
                <w:szCs w:val="20"/>
              </w:rPr>
              <w:t>主講人</w:t>
            </w:r>
          </w:p>
        </w:tc>
        <w:tc>
          <w:tcPr>
            <w:tcW w:w="5764" w:type="dxa"/>
            <w:tcBorders>
              <w:top w:val="nil"/>
              <w:left w:val="nil"/>
              <w:bottom w:val="nil"/>
              <w:right w:val="single" w:sz="6" w:space="0" w:color="auto"/>
            </w:tcBorders>
          </w:tcPr>
          <w:p w:rsidR="00FC0D5F" w:rsidRPr="003654B8" w:rsidRDefault="00FC0D5F" w:rsidP="0024577C">
            <w:pPr>
              <w:rPr>
                <w:rFonts w:ascii="Times New Roman" w:eastAsia="標楷體" w:hAnsi="Times New Roman"/>
                <w:kern w:val="0"/>
                <w:sz w:val="20"/>
                <w:szCs w:val="20"/>
              </w:rPr>
            </w:pPr>
            <w:r w:rsidRPr="003654B8">
              <w:rPr>
                <w:rFonts w:ascii="Times New Roman" w:eastAsia="標楷體" w:hAnsi="Times New Roman"/>
                <w:kern w:val="0"/>
                <w:sz w:val="20"/>
                <w:szCs w:val="20"/>
              </w:rPr>
              <w:t xml:space="preserve">Mr. Daisuke Kimura </w:t>
            </w:r>
          </w:p>
          <w:p w:rsidR="00FC0D5F" w:rsidRPr="003654B8" w:rsidRDefault="00FC0D5F" w:rsidP="003654B8">
            <w:pPr>
              <w:ind w:leftChars="100" w:left="240"/>
              <w:rPr>
                <w:rFonts w:ascii="Times New Roman" w:eastAsia="標楷體" w:hAnsi="Times New Roman"/>
                <w:kern w:val="0"/>
                <w:sz w:val="20"/>
                <w:szCs w:val="20"/>
              </w:rPr>
            </w:pPr>
            <w:r w:rsidRPr="003654B8">
              <w:rPr>
                <w:rFonts w:ascii="Times New Roman" w:eastAsia="標楷體" w:hAnsi="Times New Roman" w:hint="eastAsia"/>
                <w:kern w:val="0"/>
                <w:sz w:val="20"/>
                <w:szCs w:val="20"/>
              </w:rPr>
              <w:t>日本非政府組織</w:t>
            </w:r>
            <w:r w:rsidRPr="003654B8">
              <w:rPr>
                <w:rFonts w:ascii="Times New Roman" w:eastAsia="標楷體" w:hAnsi="Times New Roman"/>
                <w:kern w:val="0"/>
                <w:sz w:val="20"/>
                <w:szCs w:val="20"/>
              </w:rPr>
              <w:t>Global Incubation*Fostering Talents (GiFT)</w:t>
            </w:r>
            <w:r w:rsidRPr="003654B8">
              <w:rPr>
                <w:rFonts w:ascii="Times New Roman" w:eastAsia="標楷體" w:hAnsi="Times New Roman" w:hint="eastAsia"/>
                <w:kern w:val="0"/>
                <w:sz w:val="20"/>
                <w:szCs w:val="20"/>
              </w:rPr>
              <w:t>研究人員</w:t>
            </w:r>
          </w:p>
        </w:tc>
      </w:tr>
      <w:tr w:rsidR="00FC0D5F" w:rsidRPr="00B16F6D" w:rsidTr="003654B8">
        <w:trPr>
          <w:trHeight w:val="184"/>
        </w:trPr>
        <w:tc>
          <w:tcPr>
            <w:tcW w:w="1418" w:type="dxa"/>
            <w:vMerge/>
            <w:vAlign w:val="center"/>
          </w:tcPr>
          <w:p w:rsidR="00FC0D5F" w:rsidRPr="003654B8" w:rsidRDefault="00FC0D5F" w:rsidP="003654B8">
            <w:pPr>
              <w:jc w:val="center"/>
              <w:rPr>
                <w:rFonts w:ascii="Times New Roman" w:eastAsia="標楷體" w:hAnsi="Times New Roman"/>
                <w:kern w:val="0"/>
                <w:sz w:val="20"/>
                <w:szCs w:val="20"/>
              </w:rPr>
            </w:pPr>
          </w:p>
        </w:tc>
        <w:tc>
          <w:tcPr>
            <w:tcW w:w="7749" w:type="dxa"/>
            <w:gridSpan w:val="2"/>
            <w:tcBorders>
              <w:top w:val="nil"/>
              <w:bottom w:val="nil"/>
              <w:right w:val="single" w:sz="6" w:space="0" w:color="auto"/>
            </w:tcBorders>
          </w:tcPr>
          <w:p w:rsidR="00FC0D5F" w:rsidRPr="003654B8" w:rsidRDefault="00FC0D5F" w:rsidP="0024577C">
            <w:pPr>
              <w:rPr>
                <w:rFonts w:ascii="Times New Roman" w:eastAsia="標楷體" w:hAnsi="Times New Roman"/>
                <w:kern w:val="0"/>
                <w:sz w:val="20"/>
                <w:szCs w:val="20"/>
              </w:rPr>
            </w:pPr>
            <w:r w:rsidRPr="003654B8">
              <w:rPr>
                <w:rFonts w:ascii="Times New Roman" w:eastAsia="標楷體" w:hAnsi="Times New Roman"/>
                <w:kern w:val="0"/>
                <w:sz w:val="20"/>
                <w:szCs w:val="20"/>
              </w:rPr>
              <w:t>3.</w:t>
            </w:r>
            <w:r w:rsidRPr="003654B8">
              <w:rPr>
                <w:rFonts w:ascii="Times New Roman" w:eastAsia="標楷體" w:hAnsi="Times New Roman"/>
                <w:b/>
                <w:kern w:val="0"/>
                <w:sz w:val="20"/>
                <w:szCs w:val="20"/>
              </w:rPr>
              <w:t xml:space="preserve"> </w:t>
            </w:r>
            <w:r w:rsidRPr="003654B8">
              <w:rPr>
                <w:rFonts w:ascii="Times New Roman" w:eastAsia="標楷體" w:hAnsi="Times New Roman" w:hint="eastAsia"/>
                <w:b/>
                <w:kern w:val="0"/>
                <w:sz w:val="20"/>
                <w:szCs w:val="20"/>
              </w:rPr>
              <w:t>南韓</w:t>
            </w:r>
          </w:p>
        </w:tc>
      </w:tr>
      <w:tr w:rsidR="00FC0D5F" w:rsidRPr="00B16F6D" w:rsidTr="003654B8">
        <w:trPr>
          <w:trHeight w:val="184"/>
        </w:trPr>
        <w:tc>
          <w:tcPr>
            <w:tcW w:w="1418" w:type="dxa"/>
            <w:vMerge/>
            <w:vAlign w:val="center"/>
          </w:tcPr>
          <w:p w:rsidR="00FC0D5F" w:rsidRPr="003654B8" w:rsidRDefault="00FC0D5F" w:rsidP="003654B8">
            <w:pPr>
              <w:jc w:val="center"/>
              <w:rPr>
                <w:rFonts w:ascii="Times New Roman" w:eastAsia="標楷體" w:hAnsi="Times New Roman"/>
                <w:kern w:val="0"/>
                <w:sz w:val="20"/>
                <w:szCs w:val="20"/>
              </w:rPr>
            </w:pPr>
          </w:p>
        </w:tc>
        <w:tc>
          <w:tcPr>
            <w:tcW w:w="1985" w:type="dxa"/>
            <w:tcBorders>
              <w:top w:val="nil"/>
              <w:bottom w:val="nil"/>
              <w:right w:val="nil"/>
            </w:tcBorders>
          </w:tcPr>
          <w:p w:rsidR="00FC0D5F" w:rsidRPr="003654B8" w:rsidRDefault="00FC0D5F" w:rsidP="003654B8">
            <w:pPr>
              <w:ind w:firstLineChars="100" w:firstLine="200"/>
              <w:rPr>
                <w:rFonts w:ascii="Times New Roman" w:eastAsia="標楷體" w:hAnsi="Times New Roman"/>
                <w:kern w:val="0"/>
                <w:sz w:val="20"/>
                <w:szCs w:val="20"/>
              </w:rPr>
            </w:pPr>
            <w:r w:rsidRPr="003654B8">
              <w:rPr>
                <w:rFonts w:ascii="Times New Roman" w:eastAsia="標楷體" w:hAnsi="Times New Roman" w:hint="eastAsia"/>
                <w:color w:val="595959"/>
                <w:kern w:val="0"/>
                <w:sz w:val="20"/>
                <w:szCs w:val="20"/>
              </w:rPr>
              <w:t>主講人</w:t>
            </w:r>
          </w:p>
        </w:tc>
        <w:tc>
          <w:tcPr>
            <w:tcW w:w="5764" w:type="dxa"/>
            <w:tcBorders>
              <w:top w:val="nil"/>
              <w:left w:val="nil"/>
              <w:bottom w:val="nil"/>
              <w:right w:val="single" w:sz="6" w:space="0" w:color="auto"/>
            </w:tcBorders>
          </w:tcPr>
          <w:p w:rsidR="00FC0D5F" w:rsidRPr="003654B8" w:rsidRDefault="00FC0D5F" w:rsidP="0024577C">
            <w:pPr>
              <w:rPr>
                <w:rFonts w:ascii="Times New Roman" w:eastAsia="標楷體" w:hAnsi="Times New Roman"/>
                <w:kern w:val="0"/>
                <w:sz w:val="20"/>
                <w:szCs w:val="20"/>
              </w:rPr>
            </w:pPr>
            <w:r w:rsidRPr="003654B8">
              <w:rPr>
                <w:rFonts w:ascii="Times New Roman" w:eastAsia="標楷體" w:hAnsi="Times New Roman"/>
                <w:kern w:val="0"/>
                <w:sz w:val="20"/>
                <w:szCs w:val="20"/>
              </w:rPr>
              <w:t>Dr. EOM Jeongmin</w:t>
            </w:r>
          </w:p>
          <w:p w:rsidR="00FC0D5F" w:rsidRPr="003654B8" w:rsidRDefault="00FC0D5F" w:rsidP="003654B8">
            <w:pPr>
              <w:ind w:leftChars="100" w:left="240"/>
              <w:rPr>
                <w:rFonts w:ascii="Times New Roman" w:eastAsia="標楷體" w:hAnsi="Times New Roman"/>
                <w:kern w:val="0"/>
                <w:sz w:val="20"/>
                <w:szCs w:val="20"/>
              </w:rPr>
            </w:pPr>
            <w:r w:rsidRPr="003654B8">
              <w:rPr>
                <w:rFonts w:ascii="Times New Roman" w:eastAsia="標楷體" w:hAnsi="Times New Roman" w:hint="eastAsia"/>
                <w:kern w:val="0"/>
                <w:sz w:val="20"/>
                <w:szCs w:val="20"/>
              </w:rPr>
              <w:t>聯合國教科文組織</w:t>
            </w:r>
            <w:r w:rsidRPr="003654B8">
              <w:rPr>
                <w:rFonts w:ascii="Times New Roman" w:eastAsia="標楷體" w:hAnsi="Times New Roman"/>
                <w:kern w:val="0"/>
                <w:sz w:val="20"/>
                <w:szCs w:val="20"/>
              </w:rPr>
              <w:t xml:space="preserve"> (UNESCO)</w:t>
            </w:r>
            <w:r w:rsidRPr="003654B8">
              <w:rPr>
                <w:rFonts w:ascii="Times New Roman" w:eastAsia="標楷體" w:hAnsi="Times New Roman" w:hint="eastAsia"/>
                <w:kern w:val="0"/>
                <w:sz w:val="20"/>
                <w:szCs w:val="20"/>
              </w:rPr>
              <w:t>亞太地區國際理解教育中心</w:t>
            </w:r>
            <w:r w:rsidRPr="003654B8">
              <w:rPr>
                <w:rFonts w:ascii="Times New Roman" w:eastAsia="標楷體" w:hAnsi="Times New Roman"/>
                <w:kern w:val="0"/>
                <w:sz w:val="20"/>
                <w:szCs w:val="20"/>
              </w:rPr>
              <w:t>(APECIU)</w:t>
            </w:r>
            <w:r w:rsidRPr="003654B8">
              <w:rPr>
                <w:rFonts w:ascii="Times New Roman" w:eastAsia="標楷體" w:hAnsi="Times New Roman" w:hint="eastAsia"/>
                <w:kern w:val="0"/>
                <w:sz w:val="20"/>
                <w:szCs w:val="20"/>
              </w:rPr>
              <w:t>主任</w:t>
            </w:r>
          </w:p>
        </w:tc>
      </w:tr>
      <w:tr w:rsidR="00FC0D5F" w:rsidRPr="00B16F6D" w:rsidTr="003654B8">
        <w:trPr>
          <w:trHeight w:val="184"/>
        </w:trPr>
        <w:tc>
          <w:tcPr>
            <w:tcW w:w="1418" w:type="dxa"/>
            <w:vMerge/>
            <w:vAlign w:val="center"/>
          </w:tcPr>
          <w:p w:rsidR="00FC0D5F" w:rsidRPr="003654B8" w:rsidRDefault="00FC0D5F" w:rsidP="003654B8">
            <w:pPr>
              <w:jc w:val="center"/>
              <w:rPr>
                <w:rFonts w:ascii="Times New Roman" w:eastAsia="標楷體" w:hAnsi="Times New Roman"/>
                <w:kern w:val="0"/>
                <w:sz w:val="20"/>
                <w:szCs w:val="20"/>
              </w:rPr>
            </w:pPr>
          </w:p>
        </w:tc>
        <w:tc>
          <w:tcPr>
            <w:tcW w:w="7749" w:type="dxa"/>
            <w:gridSpan w:val="2"/>
            <w:tcBorders>
              <w:top w:val="nil"/>
              <w:bottom w:val="nil"/>
              <w:right w:val="single" w:sz="6" w:space="0" w:color="auto"/>
            </w:tcBorders>
          </w:tcPr>
          <w:p w:rsidR="00FC0D5F" w:rsidRPr="003654B8" w:rsidRDefault="00FC0D5F" w:rsidP="0024577C">
            <w:pPr>
              <w:rPr>
                <w:rFonts w:ascii="Times New Roman" w:eastAsia="標楷體" w:hAnsi="Times New Roman"/>
                <w:kern w:val="0"/>
                <w:sz w:val="20"/>
                <w:szCs w:val="20"/>
              </w:rPr>
            </w:pPr>
            <w:r w:rsidRPr="003654B8">
              <w:rPr>
                <w:rFonts w:ascii="Times New Roman" w:eastAsia="標楷體" w:hAnsi="Times New Roman"/>
                <w:kern w:val="0"/>
                <w:sz w:val="20"/>
                <w:szCs w:val="20"/>
              </w:rPr>
              <w:t>4.</w:t>
            </w:r>
            <w:r w:rsidRPr="003654B8">
              <w:rPr>
                <w:rFonts w:ascii="Times New Roman" w:eastAsia="標楷體" w:hAnsi="Times New Roman"/>
                <w:b/>
                <w:kern w:val="0"/>
                <w:sz w:val="20"/>
                <w:szCs w:val="20"/>
              </w:rPr>
              <w:t xml:space="preserve"> </w:t>
            </w:r>
            <w:r w:rsidRPr="003654B8">
              <w:rPr>
                <w:rFonts w:ascii="Times New Roman" w:eastAsia="標楷體" w:hAnsi="Times New Roman" w:hint="eastAsia"/>
                <w:b/>
                <w:kern w:val="0"/>
                <w:sz w:val="20"/>
                <w:szCs w:val="20"/>
              </w:rPr>
              <w:t>新加坡</w:t>
            </w:r>
          </w:p>
        </w:tc>
      </w:tr>
      <w:tr w:rsidR="00FC0D5F" w:rsidRPr="00B16F6D" w:rsidTr="003654B8">
        <w:trPr>
          <w:trHeight w:val="184"/>
        </w:trPr>
        <w:tc>
          <w:tcPr>
            <w:tcW w:w="1418" w:type="dxa"/>
            <w:vMerge/>
            <w:vAlign w:val="center"/>
          </w:tcPr>
          <w:p w:rsidR="00FC0D5F" w:rsidRPr="003654B8" w:rsidRDefault="00FC0D5F" w:rsidP="003654B8">
            <w:pPr>
              <w:jc w:val="center"/>
              <w:rPr>
                <w:rFonts w:ascii="Times New Roman" w:eastAsia="標楷體" w:hAnsi="Times New Roman"/>
                <w:kern w:val="0"/>
                <w:sz w:val="20"/>
                <w:szCs w:val="20"/>
              </w:rPr>
            </w:pPr>
          </w:p>
        </w:tc>
        <w:tc>
          <w:tcPr>
            <w:tcW w:w="1985" w:type="dxa"/>
            <w:tcBorders>
              <w:top w:val="nil"/>
              <w:bottom w:val="nil"/>
              <w:right w:val="nil"/>
            </w:tcBorders>
          </w:tcPr>
          <w:p w:rsidR="00FC0D5F" w:rsidRPr="003654B8" w:rsidRDefault="00FC0D5F" w:rsidP="003654B8">
            <w:pPr>
              <w:ind w:firstLineChars="100" w:firstLine="200"/>
              <w:rPr>
                <w:rFonts w:ascii="Times New Roman" w:eastAsia="標楷體" w:hAnsi="Times New Roman"/>
                <w:kern w:val="0"/>
                <w:sz w:val="20"/>
                <w:szCs w:val="20"/>
              </w:rPr>
            </w:pPr>
            <w:r w:rsidRPr="003654B8">
              <w:rPr>
                <w:rFonts w:ascii="Times New Roman" w:eastAsia="標楷體" w:hAnsi="Times New Roman" w:hint="eastAsia"/>
                <w:color w:val="595959"/>
                <w:kern w:val="0"/>
                <w:sz w:val="20"/>
                <w:szCs w:val="20"/>
              </w:rPr>
              <w:t>主講人</w:t>
            </w:r>
          </w:p>
        </w:tc>
        <w:tc>
          <w:tcPr>
            <w:tcW w:w="5764" w:type="dxa"/>
            <w:tcBorders>
              <w:top w:val="nil"/>
              <w:left w:val="nil"/>
              <w:bottom w:val="nil"/>
              <w:right w:val="single" w:sz="6" w:space="0" w:color="auto"/>
            </w:tcBorders>
          </w:tcPr>
          <w:p w:rsidR="00FC0D5F" w:rsidRPr="003654B8" w:rsidRDefault="00FC0D5F" w:rsidP="0024577C">
            <w:pPr>
              <w:rPr>
                <w:rFonts w:ascii="Times New Roman" w:hAnsi="Times New Roman"/>
                <w:kern w:val="0"/>
                <w:sz w:val="20"/>
                <w:szCs w:val="20"/>
              </w:rPr>
            </w:pPr>
            <w:r w:rsidRPr="003654B8">
              <w:rPr>
                <w:rFonts w:ascii="Times New Roman" w:hAnsi="Times New Roman"/>
                <w:kern w:val="0"/>
                <w:sz w:val="20"/>
                <w:szCs w:val="20"/>
              </w:rPr>
              <w:t>Dr. Melvin Chan</w:t>
            </w:r>
          </w:p>
          <w:p w:rsidR="00FC0D5F" w:rsidRPr="003654B8" w:rsidRDefault="00FC0D5F" w:rsidP="0024577C">
            <w:pPr>
              <w:rPr>
                <w:rFonts w:ascii="Times New Roman" w:eastAsia="標楷體" w:hAnsi="Times New Roman"/>
                <w:b/>
                <w:kern w:val="0"/>
                <w:sz w:val="20"/>
                <w:szCs w:val="20"/>
              </w:rPr>
            </w:pPr>
            <w:r w:rsidRPr="003654B8">
              <w:rPr>
                <w:rFonts w:eastAsia="標楷體" w:hAnsi="標楷體" w:hint="eastAsia"/>
                <w:color w:val="000000"/>
                <w:kern w:val="0"/>
                <w:sz w:val="20"/>
                <w:szCs w:val="20"/>
              </w:rPr>
              <w:t>新加坡國立教育學院教學法與實務研究中心研究員</w:t>
            </w:r>
          </w:p>
        </w:tc>
      </w:tr>
      <w:tr w:rsidR="00FC0D5F" w:rsidRPr="00B16F6D" w:rsidTr="003654B8">
        <w:trPr>
          <w:trHeight w:val="184"/>
        </w:trPr>
        <w:tc>
          <w:tcPr>
            <w:tcW w:w="1418" w:type="dxa"/>
            <w:vMerge/>
            <w:vAlign w:val="center"/>
          </w:tcPr>
          <w:p w:rsidR="00FC0D5F" w:rsidRPr="003654B8" w:rsidRDefault="00FC0D5F" w:rsidP="003654B8">
            <w:pPr>
              <w:jc w:val="center"/>
              <w:rPr>
                <w:rFonts w:ascii="Times New Roman" w:eastAsia="標楷體" w:hAnsi="Times New Roman"/>
                <w:kern w:val="0"/>
                <w:sz w:val="20"/>
                <w:szCs w:val="20"/>
              </w:rPr>
            </w:pPr>
          </w:p>
        </w:tc>
        <w:tc>
          <w:tcPr>
            <w:tcW w:w="7749" w:type="dxa"/>
            <w:gridSpan w:val="2"/>
            <w:tcBorders>
              <w:top w:val="nil"/>
              <w:bottom w:val="nil"/>
              <w:right w:val="single" w:sz="6" w:space="0" w:color="auto"/>
            </w:tcBorders>
          </w:tcPr>
          <w:p w:rsidR="00FC0D5F" w:rsidRPr="003654B8" w:rsidRDefault="00FC0D5F" w:rsidP="0024577C">
            <w:pPr>
              <w:rPr>
                <w:rFonts w:ascii="Times New Roman" w:eastAsia="標楷體" w:hAnsi="Times New Roman"/>
                <w:kern w:val="0"/>
                <w:sz w:val="20"/>
                <w:szCs w:val="20"/>
              </w:rPr>
            </w:pPr>
            <w:r w:rsidRPr="003654B8">
              <w:rPr>
                <w:rFonts w:ascii="Times New Roman" w:eastAsia="標楷體" w:hAnsi="Times New Roman"/>
                <w:kern w:val="0"/>
                <w:sz w:val="20"/>
                <w:szCs w:val="20"/>
              </w:rPr>
              <w:t xml:space="preserve">5. </w:t>
            </w:r>
            <w:r w:rsidRPr="003654B8">
              <w:rPr>
                <w:rFonts w:ascii="Times New Roman" w:eastAsia="標楷體" w:hAnsi="Times New Roman"/>
                <w:b/>
                <w:kern w:val="0"/>
                <w:sz w:val="20"/>
                <w:szCs w:val="20"/>
              </w:rPr>
              <w:t>Taiwan</w:t>
            </w:r>
          </w:p>
        </w:tc>
      </w:tr>
      <w:tr w:rsidR="00FC0D5F" w:rsidRPr="00B16F6D" w:rsidTr="003654B8">
        <w:trPr>
          <w:trHeight w:val="184"/>
        </w:trPr>
        <w:tc>
          <w:tcPr>
            <w:tcW w:w="1418" w:type="dxa"/>
            <w:vMerge/>
            <w:vAlign w:val="center"/>
          </w:tcPr>
          <w:p w:rsidR="00FC0D5F" w:rsidRPr="003654B8" w:rsidRDefault="00FC0D5F" w:rsidP="003654B8">
            <w:pPr>
              <w:jc w:val="center"/>
              <w:rPr>
                <w:rFonts w:ascii="Times New Roman" w:eastAsia="標楷體" w:hAnsi="Times New Roman"/>
                <w:kern w:val="0"/>
                <w:sz w:val="20"/>
                <w:szCs w:val="20"/>
              </w:rPr>
            </w:pPr>
          </w:p>
        </w:tc>
        <w:tc>
          <w:tcPr>
            <w:tcW w:w="1985" w:type="dxa"/>
            <w:tcBorders>
              <w:top w:val="nil"/>
              <w:right w:val="nil"/>
            </w:tcBorders>
          </w:tcPr>
          <w:p w:rsidR="00FC0D5F" w:rsidRPr="003654B8" w:rsidRDefault="00FC0D5F" w:rsidP="003654B8">
            <w:pPr>
              <w:ind w:firstLineChars="100" w:firstLine="200"/>
              <w:rPr>
                <w:rFonts w:ascii="Times New Roman" w:eastAsia="標楷體" w:hAnsi="Times New Roman"/>
                <w:kern w:val="0"/>
                <w:sz w:val="20"/>
                <w:szCs w:val="20"/>
              </w:rPr>
            </w:pPr>
            <w:r w:rsidRPr="003654B8">
              <w:rPr>
                <w:rFonts w:ascii="Times New Roman" w:eastAsia="標楷體" w:hAnsi="Times New Roman" w:hint="eastAsia"/>
                <w:color w:val="595959"/>
                <w:kern w:val="0"/>
                <w:sz w:val="20"/>
                <w:szCs w:val="20"/>
              </w:rPr>
              <w:t>主講人</w:t>
            </w:r>
          </w:p>
        </w:tc>
        <w:tc>
          <w:tcPr>
            <w:tcW w:w="5764" w:type="dxa"/>
            <w:tcBorders>
              <w:top w:val="nil"/>
              <w:left w:val="nil"/>
              <w:right w:val="single" w:sz="6" w:space="0" w:color="auto"/>
            </w:tcBorders>
          </w:tcPr>
          <w:p w:rsidR="00FC0D5F" w:rsidRPr="003654B8" w:rsidRDefault="00FC0D5F" w:rsidP="0024577C">
            <w:pPr>
              <w:rPr>
                <w:rFonts w:ascii="Times New Roman" w:eastAsia="標楷體" w:hAnsi="Times New Roman"/>
                <w:kern w:val="0"/>
                <w:sz w:val="20"/>
                <w:szCs w:val="20"/>
              </w:rPr>
            </w:pPr>
            <w:r w:rsidRPr="003654B8">
              <w:rPr>
                <w:rFonts w:ascii="Times New Roman" w:eastAsia="標楷體" w:hAnsi="Times New Roman" w:hint="eastAsia"/>
                <w:kern w:val="0"/>
                <w:sz w:val="20"/>
                <w:szCs w:val="20"/>
              </w:rPr>
              <w:t>甄曉蘭教授兼系主任</w:t>
            </w:r>
          </w:p>
          <w:p w:rsidR="00FC0D5F" w:rsidRPr="003654B8" w:rsidRDefault="00FC0D5F" w:rsidP="003654B8">
            <w:pPr>
              <w:ind w:leftChars="100" w:left="240"/>
              <w:rPr>
                <w:rFonts w:ascii="Times New Roman" w:eastAsia="標楷體" w:hAnsi="Times New Roman"/>
                <w:kern w:val="0"/>
                <w:sz w:val="20"/>
                <w:szCs w:val="20"/>
              </w:rPr>
            </w:pPr>
            <w:r w:rsidRPr="003654B8">
              <w:rPr>
                <w:rFonts w:ascii="Times New Roman" w:eastAsia="標楷體" w:hAnsi="Times New Roman" w:hint="eastAsia"/>
                <w:kern w:val="0"/>
                <w:sz w:val="20"/>
                <w:szCs w:val="20"/>
              </w:rPr>
              <w:t>國立臺灣師範大學教育學系</w:t>
            </w:r>
          </w:p>
        </w:tc>
      </w:tr>
      <w:tr w:rsidR="00FC0D5F" w:rsidRPr="00B16F6D" w:rsidTr="003654B8">
        <w:tc>
          <w:tcPr>
            <w:tcW w:w="1418" w:type="dxa"/>
            <w:vAlign w:val="center"/>
          </w:tcPr>
          <w:p w:rsidR="00FC0D5F" w:rsidRPr="003654B8" w:rsidRDefault="00FC0D5F" w:rsidP="003654B8">
            <w:pPr>
              <w:jc w:val="center"/>
              <w:rPr>
                <w:rFonts w:ascii="Times New Roman" w:eastAsia="標楷體" w:hAnsi="Times New Roman"/>
                <w:kern w:val="0"/>
                <w:sz w:val="20"/>
                <w:szCs w:val="20"/>
              </w:rPr>
            </w:pPr>
            <w:r w:rsidRPr="003654B8">
              <w:rPr>
                <w:rFonts w:ascii="Times New Roman" w:eastAsia="標楷體" w:hAnsi="Times New Roman"/>
                <w:kern w:val="0"/>
                <w:sz w:val="20"/>
                <w:szCs w:val="20"/>
              </w:rPr>
              <w:t>15:30-15:45</w:t>
            </w:r>
          </w:p>
        </w:tc>
        <w:tc>
          <w:tcPr>
            <w:tcW w:w="7749" w:type="dxa"/>
            <w:gridSpan w:val="2"/>
          </w:tcPr>
          <w:p w:rsidR="00FC0D5F" w:rsidRPr="003654B8" w:rsidRDefault="00FC0D5F" w:rsidP="0024577C">
            <w:pPr>
              <w:rPr>
                <w:rFonts w:ascii="Times New Roman" w:eastAsia="標楷體" w:hAnsi="Times New Roman"/>
                <w:b/>
                <w:kern w:val="0"/>
                <w:sz w:val="20"/>
                <w:szCs w:val="20"/>
              </w:rPr>
            </w:pPr>
            <w:r w:rsidRPr="003654B8">
              <w:rPr>
                <w:rFonts w:ascii="Times New Roman" w:eastAsia="標楷體" w:hAnsi="Times New Roman" w:hint="eastAsia"/>
                <w:b/>
                <w:kern w:val="0"/>
                <w:sz w:val="20"/>
                <w:szCs w:val="20"/>
              </w:rPr>
              <w:t>茶敘</w:t>
            </w:r>
          </w:p>
        </w:tc>
      </w:tr>
      <w:tr w:rsidR="00FC0D5F" w:rsidRPr="00B16F6D" w:rsidTr="003654B8">
        <w:trPr>
          <w:trHeight w:val="360"/>
        </w:trPr>
        <w:tc>
          <w:tcPr>
            <w:tcW w:w="1418" w:type="dxa"/>
            <w:vMerge w:val="restart"/>
            <w:vAlign w:val="center"/>
          </w:tcPr>
          <w:p w:rsidR="00FC0D5F" w:rsidRPr="003654B8" w:rsidRDefault="00FC0D5F" w:rsidP="003654B8">
            <w:pPr>
              <w:jc w:val="center"/>
              <w:rPr>
                <w:rFonts w:ascii="Times New Roman" w:eastAsia="標楷體" w:hAnsi="Times New Roman"/>
                <w:kern w:val="0"/>
                <w:sz w:val="20"/>
                <w:szCs w:val="20"/>
              </w:rPr>
            </w:pPr>
            <w:r w:rsidRPr="003654B8">
              <w:rPr>
                <w:rFonts w:ascii="Times New Roman" w:eastAsia="標楷體" w:hAnsi="Times New Roman"/>
                <w:kern w:val="0"/>
                <w:sz w:val="20"/>
                <w:szCs w:val="20"/>
              </w:rPr>
              <w:t>15:45-16:15</w:t>
            </w:r>
          </w:p>
        </w:tc>
        <w:tc>
          <w:tcPr>
            <w:tcW w:w="7749" w:type="dxa"/>
            <w:gridSpan w:val="2"/>
            <w:tcBorders>
              <w:bottom w:val="nil"/>
              <w:right w:val="single" w:sz="6" w:space="0" w:color="auto"/>
            </w:tcBorders>
          </w:tcPr>
          <w:p w:rsidR="00FC0D5F" w:rsidRPr="003654B8" w:rsidRDefault="00FC0D5F" w:rsidP="00F80933">
            <w:pPr>
              <w:spacing w:afterLines="50"/>
              <w:rPr>
                <w:rFonts w:ascii="Times New Roman" w:eastAsia="標楷體" w:hAnsi="Times New Roman"/>
                <w:b/>
                <w:i/>
                <w:kern w:val="0"/>
                <w:sz w:val="20"/>
                <w:szCs w:val="20"/>
              </w:rPr>
            </w:pPr>
            <w:r w:rsidRPr="003654B8">
              <w:rPr>
                <w:rFonts w:ascii="Times New Roman" w:eastAsia="標楷體" w:hAnsi="Times New Roman"/>
                <w:b/>
                <w:i/>
                <w:kern w:val="0"/>
                <w:sz w:val="20"/>
                <w:szCs w:val="20"/>
              </w:rPr>
              <w:t>From Performance to Competence, a Long Way to Go: From the Experience of Taiwan</w:t>
            </w:r>
          </w:p>
        </w:tc>
      </w:tr>
      <w:tr w:rsidR="00FC0D5F" w:rsidRPr="00B16F6D" w:rsidTr="003654B8">
        <w:trPr>
          <w:trHeight w:val="360"/>
        </w:trPr>
        <w:tc>
          <w:tcPr>
            <w:tcW w:w="1418" w:type="dxa"/>
            <w:vMerge/>
            <w:vAlign w:val="center"/>
          </w:tcPr>
          <w:p w:rsidR="00FC0D5F" w:rsidRPr="003654B8" w:rsidRDefault="00FC0D5F" w:rsidP="003654B8">
            <w:pPr>
              <w:jc w:val="center"/>
              <w:rPr>
                <w:rFonts w:ascii="Times New Roman" w:eastAsia="標楷體" w:hAnsi="Times New Roman"/>
                <w:kern w:val="0"/>
                <w:sz w:val="20"/>
                <w:szCs w:val="20"/>
              </w:rPr>
            </w:pPr>
          </w:p>
        </w:tc>
        <w:tc>
          <w:tcPr>
            <w:tcW w:w="1985" w:type="dxa"/>
            <w:tcBorders>
              <w:top w:val="nil"/>
              <w:right w:val="nil"/>
            </w:tcBorders>
          </w:tcPr>
          <w:p w:rsidR="00FC0D5F" w:rsidRPr="003654B8" w:rsidRDefault="00FC0D5F" w:rsidP="003654B8">
            <w:pPr>
              <w:ind w:firstLineChars="100" w:firstLine="200"/>
              <w:rPr>
                <w:rFonts w:ascii="Times New Roman" w:eastAsia="標楷體" w:hAnsi="Times New Roman"/>
                <w:kern w:val="0"/>
                <w:sz w:val="20"/>
                <w:szCs w:val="20"/>
              </w:rPr>
            </w:pPr>
            <w:r w:rsidRPr="003654B8">
              <w:rPr>
                <w:rFonts w:ascii="Times New Roman" w:eastAsia="標楷體" w:hAnsi="Times New Roman" w:hint="eastAsia"/>
                <w:color w:val="595959"/>
                <w:kern w:val="0"/>
                <w:sz w:val="20"/>
                <w:szCs w:val="20"/>
              </w:rPr>
              <w:t>主講人</w:t>
            </w:r>
          </w:p>
        </w:tc>
        <w:tc>
          <w:tcPr>
            <w:tcW w:w="5764" w:type="dxa"/>
            <w:tcBorders>
              <w:top w:val="nil"/>
              <w:left w:val="nil"/>
              <w:right w:val="single" w:sz="6" w:space="0" w:color="auto"/>
            </w:tcBorders>
          </w:tcPr>
          <w:p w:rsidR="00FC0D5F" w:rsidRPr="003654B8" w:rsidRDefault="00FC0D5F" w:rsidP="0024577C">
            <w:pPr>
              <w:rPr>
                <w:rFonts w:ascii="Times New Roman" w:eastAsia="標楷體" w:hAnsi="Times New Roman"/>
                <w:kern w:val="0"/>
                <w:sz w:val="20"/>
                <w:szCs w:val="20"/>
              </w:rPr>
            </w:pPr>
            <w:r w:rsidRPr="003654B8">
              <w:rPr>
                <w:rFonts w:ascii="Times New Roman" w:eastAsia="標楷體" w:hAnsi="Times New Roman" w:hint="eastAsia"/>
                <w:kern w:val="0"/>
                <w:sz w:val="20"/>
                <w:szCs w:val="20"/>
              </w:rPr>
              <w:t>李俊仁教授副教授</w:t>
            </w:r>
          </w:p>
          <w:p w:rsidR="00FC0D5F" w:rsidRPr="003654B8" w:rsidRDefault="00FC0D5F" w:rsidP="003654B8">
            <w:pPr>
              <w:ind w:leftChars="100" w:left="240"/>
              <w:rPr>
                <w:rFonts w:ascii="Times New Roman" w:eastAsia="標楷體" w:hAnsi="Times New Roman"/>
                <w:kern w:val="0"/>
                <w:sz w:val="20"/>
                <w:szCs w:val="20"/>
              </w:rPr>
            </w:pPr>
            <w:r w:rsidRPr="003654B8">
              <w:rPr>
                <w:rFonts w:ascii="Times New Roman" w:eastAsia="標楷體" w:hAnsi="Times New Roman" w:hint="eastAsia"/>
                <w:kern w:val="0"/>
                <w:sz w:val="20"/>
                <w:szCs w:val="20"/>
              </w:rPr>
              <w:t>國立臺灣師範大學教育心理與輔導學系</w:t>
            </w:r>
          </w:p>
        </w:tc>
      </w:tr>
      <w:tr w:rsidR="00FC0D5F" w:rsidRPr="00B16F6D" w:rsidTr="003654B8">
        <w:trPr>
          <w:trHeight w:val="180"/>
        </w:trPr>
        <w:tc>
          <w:tcPr>
            <w:tcW w:w="1418" w:type="dxa"/>
            <w:vMerge w:val="restart"/>
            <w:vAlign w:val="center"/>
          </w:tcPr>
          <w:p w:rsidR="00FC0D5F" w:rsidRPr="003654B8" w:rsidRDefault="00FC0D5F" w:rsidP="003654B8">
            <w:pPr>
              <w:jc w:val="center"/>
              <w:rPr>
                <w:rFonts w:ascii="Times New Roman" w:eastAsia="標楷體" w:hAnsi="Times New Roman"/>
                <w:kern w:val="0"/>
                <w:sz w:val="20"/>
                <w:szCs w:val="20"/>
              </w:rPr>
            </w:pPr>
            <w:r w:rsidRPr="003654B8">
              <w:rPr>
                <w:rFonts w:ascii="Times New Roman" w:eastAsia="標楷體" w:hAnsi="Times New Roman"/>
                <w:kern w:val="0"/>
                <w:sz w:val="20"/>
                <w:szCs w:val="20"/>
              </w:rPr>
              <w:t>16:15-17:30</w:t>
            </w:r>
          </w:p>
        </w:tc>
        <w:tc>
          <w:tcPr>
            <w:tcW w:w="7749" w:type="dxa"/>
            <w:gridSpan w:val="2"/>
            <w:tcBorders>
              <w:bottom w:val="nil"/>
              <w:right w:val="single" w:sz="6" w:space="0" w:color="auto"/>
            </w:tcBorders>
          </w:tcPr>
          <w:p w:rsidR="00FC0D5F" w:rsidRPr="003654B8" w:rsidRDefault="00FC0D5F" w:rsidP="003654B8">
            <w:pPr>
              <w:spacing w:line="360" w:lineRule="auto"/>
              <w:rPr>
                <w:rFonts w:ascii="Times New Roman" w:eastAsia="標楷體" w:hAnsi="Times New Roman"/>
                <w:b/>
                <w:kern w:val="0"/>
                <w:sz w:val="20"/>
                <w:szCs w:val="20"/>
              </w:rPr>
            </w:pPr>
            <w:r w:rsidRPr="003654B8">
              <w:rPr>
                <w:rFonts w:ascii="Times New Roman" w:eastAsia="標楷體" w:hAnsi="Times New Roman" w:hint="eastAsia"/>
                <w:b/>
                <w:kern w:val="0"/>
                <w:sz w:val="20"/>
                <w:szCs w:val="20"/>
              </w:rPr>
              <w:t>圓桌論壇二</w:t>
            </w:r>
            <w:r w:rsidRPr="003654B8">
              <w:rPr>
                <w:rFonts w:ascii="Times New Roman" w:eastAsia="標楷體" w:hAnsi="Times New Roman"/>
                <w:b/>
                <w:kern w:val="0"/>
                <w:sz w:val="20"/>
                <w:szCs w:val="20"/>
              </w:rPr>
              <w:t xml:space="preserve">: </w:t>
            </w:r>
            <w:r w:rsidRPr="003654B8">
              <w:rPr>
                <w:rFonts w:ascii="Times New Roman" w:eastAsia="標楷體" w:hAnsi="Times New Roman" w:hint="eastAsia"/>
                <w:b/>
                <w:kern w:val="0"/>
                <w:sz w:val="20"/>
                <w:szCs w:val="20"/>
              </w:rPr>
              <w:t>二十一世紀素養議題討論</w:t>
            </w:r>
            <w:r w:rsidRPr="003654B8">
              <w:rPr>
                <w:rFonts w:ascii="Times New Roman" w:eastAsia="標楷體" w:hAnsi="Times New Roman"/>
                <w:b/>
                <w:kern w:val="0"/>
                <w:sz w:val="20"/>
                <w:szCs w:val="20"/>
              </w:rPr>
              <w:t xml:space="preserve">: </w:t>
            </w:r>
            <w:r w:rsidRPr="003654B8">
              <w:rPr>
                <w:rFonts w:ascii="Times New Roman" w:eastAsia="標楷體" w:hAnsi="Times New Roman" w:hint="eastAsia"/>
                <w:b/>
                <w:kern w:val="0"/>
                <w:sz w:val="20"/>
                <w:szCs w:val="20"/>
              </w:rPr>
              <w:t>教學與評量</w:t>
            </w:r>
          </w:p>
        </w:tc>
      </w:tr>
      <w:tr w:rsidR="00FC0D5F" w:rsidRPr="00B16F6D" w:rsidTr="003654B8">
        <w:trPr>
          <w:trHeight w:val="180"/>
        </w:trPr>
        <w:tc>
          <w:tcPr>
            <w:tcW w:w="1418" w:type="dxa"/>
            <w:vMerge/>
            <w:vAlign w:val="center"/>
          </w:tcPr>
          <w:p w:rsidR="00FC0D5F" w:rsidRPr="003654B8" w:rsidRDefault="00FC0D5F" w:rsidP="003654B8">
            <w:pPr>
              <w:jc w:val="center"/>
              <w:rPr>
                <w:rFonts w:ascii="Times New Roman" w:eastAsia="標楷體" w:hAnsi="Times New Roman"/>
                <w:kern w:val="0"/>
                <w:sz w:val="20"/>
                <w:szCs w:val="20"/>
              </w:rPr>
            </w:pPr>
          </w:p>
        </w:tc>
        <w:tc>
          <w:tcPr>
            <w:tcW w:w="1985" w:type="dxa"/>
            <w:tcBorders>
              <w:top w:val="nil"/>
              <w:bottom w:val="nil"/>
              <w:right w:val="nil"/>
            </w:tcBorders>
          </w:tcPr>
          <w:p w:rsidR="00FC0D5F" w:rsidRPr="003654B8" w:rsidRDefault="00FC0D5F" w:rsidP="003654B8">
            <w:pPr>
              <w:ind w:firstLineChars="100" w:firstLine="200"/>
              <w:rPr>
                <w:rFonts w:ascii="Times New Roman" w:eastAsia="標楷體" w:hAnsi="Times New Roman"/>
                <w:kern w:val="0"/>
                <w:sz w:val="20"/>
                <w:szCs w:val="20"/>
              </w:rPr>
            </w:pPr>
            <w:r w:rsidRPr="003654B8">
              <w:rPr>
                <w:rFonts w:ascii="Times New Roman" w:eastAsia="標楷體" w:hAnsi="Times New Roman" w:hint="eastAsia"/>
                <w:color w:val="595959"/>
                <w:kern w:val="0"/>
                <w:sz w:val="20"/>
                <w:szCs w:val="20"/>
              </w:rPr>
              <w:t>引言人</w:t>
            </w:r>
          </w:p>
        </w:tc>
        <w:tc>
          <w:tcPr>
            <w:tcW w:w="5764" w:type="dxa"/>
            <w:tcBorders>
              <w:top w:val="nil"/>
              <w:left w:val="nil"/>
              <w:bottom w:val="nil"/>
              <w:right w:val="single" w:sz="6" w:space="0" w:color="auto"/>
            </w:tcBorders>
          </w:tcPr>
          <w:p w:rsidR="00FC0D5F" w:rsidRPr="003654B8" w:rsidRDefault="00FC0D5F" w:rsidP="0024577C">
            <w:pPr>
              <w:rPr>
                <w:rFonts w:ascii="Times New Roman" w:eastAsia="標楷體" w:hAnsi="Times New Roman"/>
                <w:kern w:val="0"/>
                <w:sz w:val="20"/>
                <w:szCs w:val="20"/>
              </w:rPr>
            </w:pPr>
            <w:r w:rsidRPr="003654B8">
              <w:rPr>
                <w:rFonts w:ascii="Times New Roman" w:eastAsia="標楷體" w:hAnsi="Times New Roman" w:hint="eastAsia"/>
                <w:kern w:val="0"/>
                <w:sz w:val="20"/>
                <w:szCs w:val="20"/>
              </w:rPr>
              <w:t>程介明院長</w:t>
            </w:r>
          </w:p>
          <w:p w:rsidR="00FC0D5F" w:rsidRPr="003654B8" w:rsidRDefault="00FC0D5F" w:rsidP="003654B8">
            <w:pPr>
              <w:ind w:leftChars="100" w:left="240"/>
              <w:rPr>
                <w:rFonts w:ascii="Times New Roman" w:eastAsia="標楷體" w:hAnsi="Times New Roman"/>
                <w:kern w:val="0"/>
                <w:sz w:val="20"/>
                <w:szCs w:val="20"/>
              </w:rPr>
            </w:pPr>
            <w:r w:rsidRPr="003654B8">
              <w:rPr>
                <w:rFonts w:ascii="Times New Roman" w:eastAsia="標楷體" w:hAnsi="Times New Roman" w:hint="eastAsia"/>
                <w:kern w:val="0"/>
                <w:sz w:val="20"/>
                <w:szCs w:val="20"/>
              </w:rPr>
              <w:t>香港大學栢立基學院</w:t>
            </w:r>
          </w:p>
        </w:tc>
      </w:tr>
      <w:tr w:rsidR="00FC0D5F" w:rsidRPr="00B16F6D" w:rsidTr="003654B8">
        <w:trPr>
          <w:trHeight w:val="180"/>
        </w:trPr>
        <w:tc>
          <w:tcPr>
            <w:tcW w:w="1418" w:type="dxa"/>
            <w:vMerge/>
            <w:tcBorders>
              <w:bottom w:val="single" w:sz="4" w:space="0" w:color="auto"/>
            </w:tcBorders>
            <w:vAlign w:val="center"/>
          </w:tcPr>
          <w:p w:rsidR="00FC0D5F" w:rsidRPr="003654B8" w:rsidRDefault="00FC0D5F" w:rsidP="003654B8">
            <w:pPr>
              <w:jc w:val="center"/>
              <w:rPr>
                <w:rFonts w:ascii="Times New Roman" w:eastAsia="標楷體" w:hAnsi="Times New Roman"/>
                <w:kern w:val="0"/>
                <w:sz w:val="20"/>
                <w:szCs w:val="20"/>
              </w:rPr>
            </w:pPr>
          </w:p>
        </w:tc>
        <w:tc>
          <w:tcPr>
            <w:tcW w:w="1985" w:type="dxa"/>
            <w:tcBorders>
              <w:top w:val="nil"/>
              <w:bottom w:val="single" w:sz="4" w:space="0" w:color="auto"/>
              <w:right w:val="nil"/>
            </w:tcBorders>
          </w:tcPr>
          <w:p w:rsidR="00FC0D5F" w:rsidRPr="003654B8" w:rsidRDefault="00FC0D5F" w:rsidP="003654B8">
            <w:pPr>
              <w:ind w:firstLineChars="100" w:firstLine="200"/>
              <w:rPr>
                <w:rFonts w:ascii="Times New Roman" w:eastAsia="標楷體" w:hAnsi="Times New Roman"/>
                <w:kern w:val="0"/>
                <w:sz w:val="20"/>
                <w:szCs w:val="20"/>
              </w:rPr>
            </w:pPr>
            <w:r w:rsidRPr="003654B8">
              <w:rPr>
                <w:rFonts w:ascii="Times New Roman" w:eastAsia="標楷體" w:hAnsi="Times New Roman" w:hint="eastAsia"/>
                <w:color w:val="595959"/>
                <w:kern w:val="0"/>
                <w:sz w:val="20"/>
                <w:szCs w:val="20"/>
              </w:rPr>
              <w:t>與談人</w:t>
            </w:r>
          </w:p>
        </w:tc>
        <w:tc>
          <w:tcPr>
            <w:tcW w:w="5764" w:type="dxa"/>
            <w:tcBorders>
              <w:top w:val="nil"/>
              <w:left w:val="nil"/>
              <w:bottom w:val="single" w:sz="4" w:space="0" w:color="auto"/>
              <w:right w:val="single" w:sz="6" w:space="0" w:color="auto"/>
            </w:tcBorders>
          </w:tcPr>
          <w:p w:rsidR="00FC0D5F" w:rsidRPr="003654B8" w:rsidRDefault="00FC0D5F" w:rsidP="0024577C">
            <w:pPr>
              <w:rPr>
                <w:rFonts w:ascii="Times New Roman" w:eastAsia="標楷體" w:hAnsi="Times New Roman"/>
                <w:kern w:val="0"/>
                <w:sz w:val="20"/>
                <w:szCs w:val="20"/>
              </w:rPr>
            </w:pPr>
            <w:r w:rsidRPr="003654B8">
              <w:rPr>
                <w:rFonts w:ascii="Times New Roman" w:eastAsia="標楷體" w:hAnsi="Times New Roman" w:hint="eastAsia"/>
                <w:kern w:val="0"/>
                <w:sz w:val="20"/>
                <w:szCs w:val="20"/>
              </w:rPr>
              <w:t>李俊仁教授副教授</w:t>
            </w:r>
          </w:p>
          <w:p w:rsidR="00FC0D5F" w:rsidRPr="003654B8" w:rsidRDefault="00FC0D5F" w:rsidP="003654B8">
            <w:pPr>
              <w:ind w:leftChars="100" w:left="240"/>
              <w:rPr>
                <w:rFonts w:ascii="Times New Roman" w:eastAsia="標楷體" w:hAnsi="Times New Roman"/>
                <w:kern w:val="0"/>
                <w:sz w:val="20"/>
                <w:szCs w:val="20"/>
              </w:rPr>
            </w:pPr>
            <w:r w:rsidRPr="003654B8">
              <w:rPr>
                <w:rFonts w:ascii="Times New Roman" w:eastAsia="標楷體" w:hAnsi="Times New Roman" w:hint="eastAsia"/>
                <w:kern w:val="0"/>
                <w:sz w:val="20"/>
                <w:szCs w:val="20"/>
              </w:rPr>
              <w:t>國立臺灣師範大學教育心理與輔導學系</w:t>
            </w:r>
          </w:p>
          <w:p w:rsidR="00FC0D5F" w:rsidRPr="003654B8" w:rsidRDefault="00FC0D5F" w:rsidP="0024577C">
            <w:pPr>
              <w:rPr>
                <w:rFonts w:ascii="Times New Roman" w:eastAsia="標楷體" w:hAnsi="Times New Roman"/>
                <w:kern w:val="0"/>
                <w:sz w:val="20"/>
                <w:szCs w:val="20"/>
              </w:rPr>
            </w:pPr>
            <w:r w:rsidRPr="003654B8">
              <w:rPr>
                <w:rFonts w:ascii="Times New Roman" w:eastAsia="標楷體" w:hAnsi="Times New Roman"/>
                <w:kern w:val="0"/>
                <w:sz w:val="20"/>
                <w:szCs w:val="20"/>
              </w:rPr>
              <w:t xml:space="preserve">Mr. Daisuke Kimura </w:t>
            </w:r>
          </w:p>
          <w:p w:rsidR="00FC0D5F" w:rsidRPr="003654B8" w:rsidRDefault="00FC0D5F" w:rsidP="003654B8">
            <w:pPr>
              <w:ind w:leftChars="100" w:left="240"/>
              <w:rPr>
                <w:rFonts w:ascii="Times New Roman" w:eastAsia="標楷體" w:hAnsi="Times New Roman"/>
                <w:kern w:val="0"/>
                <w:sz w:val="20"/>
                <w:szCs w:val="20"/>
              </w:rPr>
            </w:pPr>
            <w:r w:rsidRPr="003654B8">
              <w:rPr>
                <w:rFonts w:ascii="Times New Roman" w:eastAsia="標楷體" w:hAnsi="Times New Roman" w:hint="eastAsia"/>
                <w:kern w:val="0"/>
                <w:sz w:val="20"/>
                <w:szCs w:val="20"/>
              </w:rPr>
              <w:t>日本非政府組織</w:t>
            </w:r>
            <w:r w:rsidRPr="003654B8">
              <w:rPr>
                <w:rFonts w:ascii="Times New Roman" w:eastAsia="標楷體" w:hAnsi="Times New Roman"/>
                <w:kern w:val="0"/>
                <w:sz w:val="20"/>
                <w:szCs w:val="20"/>
              </w:rPr>
              <w:t>Global Incubation*Fostering Talents (GiFT)</w:t>
            </w:r>
            <w:r w:rsidRPr="003654B8">
              <w:rPr>
                <w:rFonts w:ascii="Times New Roman" w:eastAsia="標楷體" w:hAnsi="Times New Roman" w:hint="eastAsia"/>
                <w:kern w:val="0"/>
                <w:sz w:val="20"/>
                <w:szCs w:val="20"/>
              </w:rPr>
              <w:t>研究人員</w:t>
            </w:r>
          </w:p>
          <w:p w:rsidR="00FC0D5F" w:rsidRPr="003654B8" w:rsidRDefault="00FC0D5F" w:rsidP="0024577C">
            <w:pPr>
              <w:rPr>
                <w:rFonts w:ascii="Times New Roman" w:eastAsia="標楷體" w:hAnsi="Times New Roman"/>
                <w:kern w:val="0"/>
                <w:sz w:val="20"/>
                <w:szCs w:val="20"/>
              </w:rPr>
            </w:pPr>
            <w:r w:rsidRPr="003654B8">
              <w:rPr>
                <w:rFonts w:ascii="Times New Roman" w:eastAsia="標楷體" w:hAnsi="Times New Roman"/>
                <w:kern w:val="0"/>
                <w:sz w:val="20"/>
                <w:szCs w:val="20"/>
              </w:rPr>
              <w:t>Dr. EOM Jeongmin</w:t>
            </w:r>
          </w:p>
          <w:p w:rsidR="00FC0D5F" w:rsidRPr="003654B8" w:rsidRDefault="00FC0D5F" w:rsidP="003654B8">
            <w:pPr>
              <w:ind w:leftChars="100" w:left="240"/>
              <w:rPr>
                <w:rFonts w:ascii="Times New Roman" w:eastAsia="標楷體" w:hAnsi="Times New Roman"/>
                <w:kern w:val="0"/>
                <w:sz w:val="20"/>
                <w:szCs w:val="20"/>
              </w:rPr>
            </w:pPr>
            <w:r w:rsidRPr="003654B8">
              <w:rPr>
                <w:rFonts w:ascii="Times New Roman" w:eastAsia="標楷體" w:hAnsi="Times New Roman" w:hint="eastAsia"/>
                <w:kern w:val="0"/>
                <w:sz w:val="20"/>
                <w:szCs w:val="20"/>
              </w:rPr>
              <w:t>聯合國教科文組織</w:t>
            </w:r>
            <w:r w:rsidRPr="003654B8">
              <w:rPr>
                <w:rFonts w:ascii="Times New Roman" w:eastAsia="標楷體" w:hAnsi="Times New Roman"/>
                <w:kern w:val="0"/>
                <w:sz w:val="20"/>
                <w:szCs w:val="20"/>
              </w:rPr>
              <w:t xml:space="preserve"> (UNESCO)</w:t>
            </w:r>
            <w:r w:rsidRPr="003654B8">
              <w:rPr>
                <w:rFonts w:ascii="Times New Roman" w:eastAsia="標楷體" w:hAnsi="Times New Roman" w:hint="eastAsia"/>
                <w:kern w:val="0"/>
                <w:sz w:val="20"/>
                <w:szCs w:val="20"/>
              </w:rPr>
              <w:t>亞太地區國際理解教育中心</w:t>
            </w:r>
            <w:r w:rsidRPr="003654B8">
              <w:rPr>
                <w:rFonts w:ascii="Times New Roman" w:eastAsia="標楷體" w:hAnsi="Times New Roman"/>
                <w:kern w:val="0"/>
                <w:sz w:val="20"/>
                <w:szCs w:val="20"/>
              </w:rPr>
              <w:t>(APECIU)</w:t>
            </w:r>
            <w:r w:rsidRPr="003654B8">
              <w:rPr>
                <w:rFonts w:ascii="Times New Roman" w:eastAsia="標楷體" w:hAnsi="Times New Roman" w:hint="eastAsia"/>
                <w:kern w:val="0"/>
                <w:sz w:val="20"/>
                <w:szCs w:val="20"/>
              </w:rPr>
              <w:t>主任</w:t>
            </w:r>
          </w:p>
          <w:p w:rsidR="00FC0D5F" w:rsidRPr="003654B8" w:rsidRDefault="00FC0D5F" w:rsidP="0024577C">
            <w:pPr>
              <w:rPr>
                <w:rFonts w:ascii="Times New Roman" w:hAnsi="Times New Roman"/>
                <w:kern w:val="0"/>
                <w:sz w:val="20"/>
                <w:szCs w:val="20"/>
              </w:rPr>
            </w:pPr>
            <w:r w:rsidRPr="003654B8">
              <w:rPr>
                <w:rFonts w:ascii="Times New Roman" w:hAnsi="Times New Roman"/>
                <w:kern w:val="0"/>
                <w:sz w:val="20"/>
                <w:szCs w:val="20"/>
              </w:rPr>
              <w:t>Dr. Melvin Chan</w:t>
            </w:r>
          </w:p>
          <w:p w:rsidR="00FC0D5F" w:rsidRPr="003654B8" w:rsidRDefault="00FC0D5F" w:rsidP="003654B8">
            <w:pPr>
              <w:ind w:leftChars="100" w:left="240"/>
              <w:rPr>
                <w:rFonts w:ascii="Times New Roman" w:eastAsia="標楷體" w:hAnsi="Times New Roman"/>
                <w:b/>
                <w:kern w:val="0"/>
                <w:sz w:val="20"/>
                <w:szCs w:val="20"/>
              </w:rPr>
            </w:pPr>
            <w:r w:rsidRPr="003654B8">
              <w:rPr>
                <w:rFonts w:eastAsia="標楷體" w:hAnsi="標楷體" w:hint="eastAsia"/>
                <w:color w:val="000000"/>
                <w:kern w:val="0"/>
                <w:sz w:val="20"/>
                <w:szCs w:val="20"/>
              </w:rPr>
              <w:t>新加坡國立教育學院教學法與實務研究中心研究員</w:t>
            </w:r>
          </w:p>
        </w:tc>
      </w:tr>
    </w:tbl>
    <w:p w:rsidR="00FC0D5F" w:rsidRDefault="00FC0D5F"/>
    <w:sectPr w:rsidR="00FC0D5F" w:rsidSect="003F3ECD">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0D5F" w:rsidRDefault="00FC0D5F" w:rsidP="00E45CFD">
      <w:r>
        <w:separator/>
      </w:r>
    </w:p>
  </w:endnote>
  <w:endnote w:type="continuationSeparator" w:id="0">
    <w:p w:rsidR="00FC0D5F" w:rsidRDefault="00FC0D5F" w:rsidP="00E45C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0D5F" w:rsidRDefault="00FC0D5F" w:rsidP="00E45CFD">
      <w:r>
        <w:separator/>
      </w:r>
    </w:p>
  </w:footnote>
  <w:footnote w:type="continuationSeparator" w:id="0">
    <w:p w:rsidR="00FC0D5F" w:rsidRDefault="00FC0D5F" w:rsidP="00E45CF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EB5568"/>
    <w:multiLevelType w:val="hybridMultilevel"/>
    <w:tmpl w:val="642458DA"/>
    <w:lvl w:ilvl="0" w:tplc="481A9952">
      <w:start w:val="1"/>
      <w:numFmt w:val="taiwaneseCountingThousand"/>
      <w:lvlText w:val="(%1)"/>
      <w:lvlJc w:val="left"/>
      <w:pPr>
        <w:ind w:left="480" w:hanging="48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1AB4165C"/>
    <w:multiLevelType w:val="hybridMultilevel"/>
    <w:tmpl w:val="A2BA23CA"/>
    <w:lvl w:ilvl="0" w:tplc="6A6C4CD8">
      <w:start w:val="1"/>
      <w:numFmt w:val="taiwaneseCountingThousand"/>
      <w:lvlText w:val="（%1）"/>
      <w:lvlJc w:val="left"/>
      <w:pPr>
        <w:tabs>
          <w:tab w:val="num" w:pos="840"/>
        </w:tabs>
        <w:ind w:left="840" w:hanging="360"/>
      </w:pPr>
      <w:rPr>
        <w:rFonts w:ascii="標楷體" w:eastAsia="標楷體" w:hAnsi="標楷體" w:cs="Times New Roman"/>
      </w:rPr>
    </w:lvl>
    <w:lvl w:ilvl="1" w:tplc="04090019">
      <w:start w:val="1"/>
      <w:numFmt w:val="ideographTraditional"/>
      <w:lvlText w:val="%2、"/>
      <w:lvlJc w:val="left"/>
      <w:pPr>
        <w:tabs>
          <w:tab w:val="num" w:pos="1440"/>
        </w:tabs>
        <w:ind w:left="1440" w:hanging="480"/>
      </w:pPr>
      <w:rPr>
        <w:rFonts w:cs="Times New Roman"/>
      </w:rPr>
    </w:lvl>
    <w:lvl w:ilvl="2" w:tplc="616274A2">
      <w:start w:val="1"/>
      <w:numFmt w:val="lowerRoman"/>
      <w:lvlText w:val="(%3)"/>
      <w:lvlJc w:val="left"/>
      <w:pPr>
        <w:tabs>
          <w:tab w:val="num" w:pos="2160"/>
        </w:tabs>
        <w:ind w:left="2160" w:hanging="720"/>
      </w:pPr>
      <w:rPr>
        <w:rFonts w:cs="Times New Roman" w:hint="default"/>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2">
    <w:nsid w:val="2BC01BED"/>
    <w:multiLevelType w:val="hybridMultilevel"/>
    <w:tmpl w:val="FC725BB8"/>
    <w:lvl w:ilvl="0" w:tplc="6A6C4CD8">
      <w:start w:val="1"/>
      <w:numFmt w:val="taiwaneseCountingThousand"/>
      <w:lvlText w:val="（%1）"/>
      <w:lvlJc w:val="left"/>
      <w:pPr>
        <w:ind w:left="480" w:hanging="480"/>
      </w:pPr>
      <w:rPr>
        <w:rFonts w:ascii="標楷體" w:eastAsia="標楷體" w:hAnsi="標楷體"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
    <w:nsid w:val="34B3750B"/>
    <w:multiLevelType w:val="hybridMultilevel"/>
    <w:tmpl w:val="1BD29F26"/>
    <w:lvl w:ilvl="0" w:tplc="97E0E32E">
      <w:start w:val="1"/>
      <w:numFmt w:val="taiwaneseCountingThousand"/>
      <w:lvlText w:val="%1、"/>
      <w:lvlJc w:val="left"/>
      <w:pPr>
        <w:ind w:left="510" w:hanging="51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6B93323E"/>
    <w:multiLevelType w:val="hybridMultilevel"/>
    <w:tmpl w:val="934C75AA"/>
    <w:lvl w:ilvl="0" w:tplc="6EEA689A">
      <w:start w:val="1"/>
      <w:numFmt w:val="taiwaneseCountingThousand"/>
      <w:lvlText w:val="%1、"/>
      <w:lvlJc w:val="left"/>
      <w:pPr>
        <w:ind w:left="960" w:hanging="480"/>
      </w:pPr>
      <w:rPr>
        <w:rFonts w:ascii="標楷體" w:eastAsia="標楷體" w:hAnsi="標楷體" w:cs="Times New Roman"/>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06C8C"/>
    <w:rsid w:val="00085C6C"/>
    <w:rsid w:val="00134D78"/>
    <w:rsid w:val="00173F80"/>
    <w:rsid w:val="0021272B"/>
    <w:rsid w:val="002316B9"/>
    <w:rsid w:val="0024577C"/>
    <w:rsid w:val="002B578B"/>
    <w:rsid w:val="002B6B3D"/>
    <w:rsid w:val="002C2B5C"/>
    <w:rsid w:val="002C7671"/>
    <w:rsid w:val="00313049"/>
    <w:rsid w:val="00324467"/>
    <w:rsid w:val="003654B8"/>
    <w:rsid w:val="003660D9"/>
    <w:rsid w:val="0037678B"/>
    <w:rsid w:val="003B241C"/>
    <w:rsid w:val="003F3ECD"/>
    <w:rsid w:val="0042001C"/>
    <w:rsid w:val="00431025"/>
    <w:rsid w:val="004C7856"/>
    <w:rsid w:val="00546F4F"/>
    <w:rsid w:val="00552F66"/>
    <w:rsid w:val="00553529"/>
    <w:rsid w:val="00583759"/>
    <w:rsid w:val="00717F79"/>
    <w:rsid w:val="0072258B"/>
    <w:rsid w:val="0074591A"/>
    <w:rsid w:val="00745AF4"/>
    <w:rsid w:val="007615FA"/>
    <w:rsid w:val="0083435C"/>
    <w:rsid w:val="00887A02"/>
    <w:rsid w:val="008B0C2B"/>
    <w:rsid w:val="008D2100"/>
    <w:rsid w:val="008F2B2E"/>
    <w:rsid w:val="0091561D"/>
    <w:rsid w:val="009324FC"/>
    <w:rsid w:val="00A305AD"/>
    <w:rsid w:val="00A7353B"/>
    <w:rsid w:val="00A74C93"/>
    <w:rsid w:val="00B06C8C"/>
    <w:rsid w:val="00B16F6D"/>
    <w:rsid w:val="00B25BC5"/>
    <w:rsid w:val="00B84C12"/>
    <w:rsid w:val="00BC52D9"/>
    <w:rsid w:val="00CE0463"/>
    <w:rsid w:val="00D50288"/>
    <w:rsid w:val="00E436F7"/>
    <w:rsid w:val="00E45CFD"/>
    <w:rsid w:val="00E83FAE"/>
    <w:rsid w:val="00EF1A6B"/>
    <w:rsid w:val="00EF379B"/>
    <w:rsid w:val="00F0017B"/>
    <w:rsid w:val="00F72F57"/>
    <w:rsid w:val="00F80933"/>
    <w:rsid w:val="00FB09C1"/>
    <w:rsid w:val="00FC0D5F"/>
    <w:rsid w:val="00FC293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6C8C"/>
    <w:pPr>
      <w:widowControl w:val="0"/>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B06C8C"/>
    <w:pPr>
      <w:widowControl w:val="0"/>
    </w:pPr>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B06C8C"/>
    <w:pPr>
      <w:ind w:leftChars="200" w:left="480"/>
    </w:pPr>
    <w:rPr>
      <w:rFonts w:ascii="Times New Roman" w:hAnsi="Times New Roman"/>
      <w:szCs w:val="24"/>
    </w:rPr>
  </w:style>
  <w:style w:type="character" w:styleId="Hyperlink">
    <w:name w:val="Hyperlink"/>
    <w:basedOn w:val="DefaultParagraphFont"/>
    <w:uiPriority w:val="99"/>
    <w:rsid w:val="00B06C8C"/>
    <w:rPr>
      <w:rFonts w:cs="Times New Roman"/>
      <w:color w:val="0000FF"/>
      <w:u w:val="single"/>
    </w:rPr>
  </w:style>
  <w:style w:type="character" w:customStyle="1" w:styleId="apple-converted-space">
    <w:name w:val="apple-converted-space"/>
    <w:basedOn w:val="DefaultParagraphFont"/>
    <w:uiPriority w:val="99"/>
    <w:rsid w:val="00B06C8C"/>
    <w:rPr>
      <w:rFonts w:cs="Times New Roman"/>
    </w:rPr>
  </w:style>
  <w:style w:type="paragraph" w:styleId="Header">
    <w:name w:val="header"/>
    <w:basedOn w:val="Normal"/>
    <w:link w:val="HeaderChar"/>
    <w:uiPriority w:val="99"/>
    <w:semiHidden/>
    <w:rsid w:val="00E45CFD"/>
    <w:pPr>
      <w:tabs>
        <w:tab w:val="center" w:pos="4153"/>
        <w:tab w:val="right" w:pos="8306"/>
      </w:tabs>
      <w:snapToGrid w:val="0"/>
    </w:pPr>
    <w:rPr>
      <w:sz w:val="20"/>
      <w:szCs w:val="20"/>
    </w:rPr>
  </w:style>
  <w:style w:type="character" w:customStyle="1" w:styleId="HeaderChar">
    <w:name w:val="Header Char"/>
    <w:basedOn w:val="DefaultParagraphFont"/>
    <w:link w:val="Header"/>
    <w:uiPriority w:val="99"/>
    <w:semiHidden/>
    <w:locked/>
    <w:rsid w:val="00E45CFD"/>
    <w:rPr>
      <w:rFonts w:ascii="Calibri" w:eastAsia="新細明體" w:hAnsi="Calibri" w:cs="Times New Roman"/>
      <w:sz w:val="20"/>
      <w:szCs w:val="20"/>
    </w:rPr>
  </w:style>
  <w:style w:type="paragraph" w:styleId="Footer">
    <w:name w:val="footer"/>
    <w:basedOn w:val="Normal"/>
    <w:link w:val="FooterChar"/>
    <w:uiPriority w:val="99"/>
    <w:semiHidden/>
    <w:rsid w:val="00E45CFD"/>
    <w:pPr>
      <w:tabs>
        <w:tab w:val="center" w:pos="4153"/>
        <w:tab w:val="right" w:pos="8306"/>
      </w:tabs>
      <w:snapToGrid w:val="0"/>
    </w:pPr>
    <w:rPr>
      <w:sz w:val="20"/>
      <w:szCs w:val="20"/>
    </w:rPr>
  </w:style>
  <w:style w:type="character" w:customStyle="1" w:styleId="FooterChar">
    <w:name w:val="Footer Char"/>
    <w:basedOn w:val="DefaultParagraphFont"/>
    <w:link w:val="Footer"/>
    <w:uiPriority w:val="99"/>
    <w:semiHidden/>
    <w:locked/>
    <w:rsid w:val="00E45CFD"/>
    <w:rPr>
      <w:rFonts w:ascii="Calibri" w:eastAsia="新細明體" w:hAnsi="Calibri"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goo.gl/forms/9CsB1qvYn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9</Pages>
  <Words>877</Words>
  <Characters>5004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亞洲教育體系二十一世紀素養發展國際論壇</dc:title>
  <dc:subject/>
  <dc:creator>user</dc:creator>
  <cp:keywords/>
  <dc:description/>
  <cp:lastModifiedBy>USER</cp:lastModifiedBy>
  <cp:revision>2</cp:revision>
  <cp:lastPrinted>2016-04-08T09:16:00Z</cp:lastPrinted>
  <dcterms:created xsi:type="dcterms:W3CDTF">2016-04-13T10:12:00Z</dcterms:created>
  <dcterms:modified xsi:type="dcterms:W3CDTF">2016-04-13T10:12:00Z</dcterms:modified>
</cp:coreProperties>
</file>