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E1" w:rsidRDefault="00A94A0A">
      <w:pPr>
        <w:pStyle w:val="Textbody"/>
        <w:spacing w:line="440" w:lineRule="exact"/>
        <w:ind w:left="60"/>
        <w:jc w:val="center"/>
      </w:pPr>
      <w:r>
        <w:rPr>
          <w:rFonts w:ascii="標楷體" w:eastAsia="標楷體" w:hAnsi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5924553</wp:posOffset>
                </wp:positionH>
                <wp:positionV relativeFrom="paragraph">
                  <wp:posOffset>-323853</wp:posOffset>
                </wp:positionV>
                <wp:extent cx="680085" cy="311152"/>
                <wp:effectExtent l="0" t="0" r="24765" b="12698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D67E1" w:rsidRDefault="00A94A0A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5pt;margin-top:-25.5pt;width:53.55pt;height:24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" strokeweight=".0175mm">
                <v:textbox>
                  <w:txbxContent>
                    <w:p w:rsidR="003D67E1" w:rsidRDefault="00A94A0A">
                      <w:pPr>
                        <w:pStyle w:val="a8"/>
                        <w:jc w:val="center"/>
                      </w:pPr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113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/>
          <w:b/>
          <w:color w:val="000000"/>
          <w:sz w:val="32"/>
          <w:szCs w:val="32"/>
        </w:rPr>
        <w:t>○○</w:t>
      </w:r>
      <w:r>
        <w:rPr>
          <w:rFonts w:ascii="標楷體" w:eastAsia="標楷體" w:hAnsi="標楷體"/>
          <w:b/>
          <w:color w:val="000000"/>
          <w:sz w:val="32"/>
          <w:szCs w:val="32"/>
        </w:rPr>
        <w:t>縣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sz w:val="32"/>
          <w:szCs w:val="32"/>
        </w:rPr>
        <w:t>市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sz w:val="32"/>
          <w:szCs w:val="32"/>
        </w:rPr>
        <w:t>私立</w:t>
      </w:r>
      <w:r>
        <w:rPr>
          <w:rFonts w:ascii="標楷體" w:eastAsia="標楷體" w:hAnsi="標楷體"/>
          <w:b/>
          <w:color w:val="000000"/>
          <w:sz w:val="32"/>
          <w:szCs w:val="32"/>
        </w:rPr>
        <w:t>○○</w:t>
      </w:r>
      <w:r>
        <w:rPr>
          <w:rFonts w:ascii="標楷體" w:eastAsia="標楷體" w:hAnsi="標楷體"/>
          <w:b/>
          <w:color w:val="000000"/>
          <w:sz w:val="32"/>
          <w:szCs w:val="32"/>
        </w:rPr>
        <w:t>幼兒園</w:t>
      </w:r>
      <w:r>
        <w:rPr>
          <w:rFonts w:ascii="標楷體" w:eastAsia="標楷體" w:hAnsi="標楷體"/>
          <w:b/>
          <w:sz w:val="32"/>
          <w:szCs w:val="32"/>
        </w:rPr>
        <w:t>申請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準</w:t>
      </w:r>
      <w:proofErr w:type="gramEnd"/>
      <w:r>
        <w:rPr>
          <w:rFonts w:ascii="標楷體" w:eastAsia="標楷體" w:hAnsi="標楷體"/>
          <w:b/>
          <w:sz w:val="32"/>
          <w:szCs w:val="32"/>
        </w:rPr>
        <w:t>公共教保服務機構調整師生比之一次性整備金計畫書</w:t>
      </w:r>
      <w:bookmarkStart w:id="0" w:name="_Hlk18246224"/>
      <w:bookmarkEnd w:id="0"/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參考示例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3D67E1" w:rsidRDefault="00A94A0A">
      <w:pPr>
        <w:pStyle w:val="Textbody"/>
        <w:spacing w:before="180" w:line="440" w:lineRule="exact"/>
        <w:ind w:left="561" w:hanging="561"/>
        <w:jc w:val="both"/>
      </w:pPr>
      <w:r>
        <w:rPr>
          <w:rFonts w:ascii="Times New Roman" w:eastAsia="標楷體" w:hAnsi="Times New Roman"/>
          <w:b/>
          <w:bCs/>
          <w:sz w:val="28"/>
          <w:szCs w:val="28"/>
        </w:rPr>
        <w:t>壹、依據：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113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15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日修正發布之「</w:t>
      </w:r>
      <w:r>
        <w:rPr>
          <w:rFonts w:ascii="標楷體" w:eastAsia="標楷體" w:hAnsi="標楷體" w:cs="標楷體"/>
          <w:color w:val="000000"/>
          <w:sz w:val="28"/>
          <w:szCs w:val="28"/>
        </w:rPr>
        <w:t>教育部推動及補助地方政府與私立教保服務機構合作提供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公共教保服務作業要點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以下簡稱本要點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」第</w:t>
      </w:r>
      <w:r>
        <w:rPr>
          <w:rFonts w:ascii="Times New Roman" w:eastAsia="標楷體" w:hAnsi="Times New Roman"/>
          <w:color w:val="000000"/>
          <w:sz w:val="28"/>
          <w:szCs w:val="28"/>
        </w:rPr>
        <w:t>15</w:t>
      </w:r>
      <w:r>
        <w:rPr>
          <w:rFonts w:ascii="Times New Roman" w:eastAsia="標楷體" w:hAnsi="Times New Roman"/>
          <w:color w:val="000000"/>
          <w:sz w:val="28"/>
          <w:szCs w:val="28"/>
        </w:rPr>
        <w:t>點規定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  <w:bookmarkStart w:id="1" w:name="_GoBack"/>
      <w:bookmarkEnd w:id="1"/>
    </w:p>
    <w:p w:rsidR="003D67E1" w:rsidRDefault="00A94A0A">
      <w:pPr>
        <w:pStyle w:val="Textbody"/>
        <w:spacing w:before="180" w:after="120" w:line="440" w:lineRule="exact"/>
        <w:ind w:left="561" w:hanging="561"/>
      </w:pPr>
      <w:r>
        <w:rPr>
          <w:rFonts w:ascii="Times New Roman" w:eastAsia="標楷體" w:hAnsi="Times New Roman"/>
          <w:b/>
          <w:bCs/>
          <w:sz w:val="28"/>
          <w:szCs w:val="28"/>
        </w:rPr>
        <w:t>貳、基本資料</w:t>
      </w:r>
    </w:p>
    <w:tbl>
      <w:tblPr>
        <w:tblW w:w="96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415"/>
        <w:gridCol w:w="2415"/>
        <w:gridCol w:w="2415"/>
      </w:tblGrid>
      <w:tr w:rsidR="003D67E1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核定總人數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契約約定人數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實際招收人數</w:t>
            </w:r>
          </w:p>
        </w:tc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歲以上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編班</w:t>
            </w:r>
          </w:p>
        </w:tc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bookmarkStart w:id="2" w:name="_Hlk18246334"/>
            <w:bookmarkEnd w:id="2"/>
            <w:r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機構照片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下列機構空間各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1-2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大門口</w:t>
            </w:r>
          </w:p>
        </w:tc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645118</wp:posOffset>
                  </wp:positionH>
                  <wp:positionV relativeFrom="paragraph">
                    <wp:posOffset>83877</wp:posOffset>
                  </wp:positionV>
                  <wp:extent cx="2498040" cy="1665003"/>
                  <wp:effectExtent l="0" t="0" r="0" b="0"/>
                  <wp:wrapSquare wrapText="bothSides"/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040" cy="166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Cs/>
                <w:color w:val="80808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808080"/>
                <w:szCs w:val="24"/>
              </w:rPr>
              <w:t>範例</w:t>
            </w:r>
            <w:r>
              <w:rPr>
                <w:rFonts w:ascii="Times New Roman" w:eastAsia="標楷體" w:hAnsi="Times New Roman"/>
                <w:bCs/>
                <w:color w:val="808080"/>
                <w:szCs w:val="24"/>
              </w:rPr>
              <w:t>)</w:t>
            </w:r>
          </w:p>
          <w:p w:rsidR="003D67E1" w:rsidRDefault="003D67E1">
            <w:pPr>
              <w:pStyle w:val="Textbody"/>
            </w:pPr>
          </w:p>
          <w:p w:rsidR="003D67E1" w:rsidRDefault="003D67E1">
            <w:pPr>
              <w:pStyle w:val="Textbody"/>
            </w:pPr>
          </w:p>
          <w:p w:rsidR="003D67E1" w:rsidRDefault="003D67E1">
            <w:pPr>
              <w:pStyle w:val="Textbody"/>
            </w:pPr>
          </w:p>
          <w:p w:rsidR="003D67E1" w:rsidRDefault="003D67E1">
            <w:pPr>
              <w:pStyle w:val="Textbody"/>
            </w:pPr>
          </w:p>
          <w:p w:rsidR="003D67E1" w:rsidRDefault="003D67E1">
            <w:pPr>
              <w:pStyle w:val="Textbody"/>
            </w:pPr>
          </w:p>
          <w:p w:rsidR="003D67E1" w:rsidRDefault="003D67E1">
            <w:pPr>
              <w:pStyle w:val="Textbody"/>
            </w:pPr>
          </w:p>
          <w:p w:rsidR="003D67E1" w:rsidRDefault="003D67E1">
            <w:pPr>
              <w:pStyle w:val="Textbody"/>
            </w:pPr>
          </w:p>
          <w:p w:rsidR="003D67E1" w:rsidRDefault="003D67E1">
            <w:pPr>
              <w:pStyle w:val="Textbody"/>
            </w:pPr>
          </w:p>
          <w:p w:rsidR="003D67E1" w:rsidRDefault="003D67E1">
            <w:pPr>
              <w:pStyle w:val="Textbody"/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室內活動室</w:t>
            </w:r>
          </w:p>
        </w:tc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戶外活動空間</w:t>
            </w:r>
          </w:p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含遊戲器材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00" w:lineRule="exact"/>
              <w:ind w:left="-120" w:right="-12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盥洗室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含廁所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廚房</w:t>
            </w:r>
          </w:p>
        </w:tc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D67E1" w:rsidRDefault="00A94A0A">
      <w:pPr>
        <w:pStyle w:val="Textbody"/>
        <w:spacing w:before="180" w:after="120" w:line="440" w:lineRule="exact"/>
        <w:ind w:left="561" w:hanging="561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參、</w:t>
      </w:r>
      <w:r>
        <w:rPr>
          <w:rFonts w:ascii="Times New Roman" w:eastAsia="標楷體" w:hAnsi="Times New Roman"/>
          <w:b/>
          <w:bCs/>
          <w:sz w:val="28"/>
          <w:szCs w:val="28"/>
        </w:rPr>
        <w:t>107</w:t>
      </w:r>
      <w:r>
        <w:rPr>
          <w:rFonts w:ascii="Times New Roman" w:eastAsia="標楷體" w:hAnsi="Times New Roman"/>
          <w:b/>
          <w:bCs/>
          <w:sz w:val="28"/>
          <w:szCs w:val="28"/>
        </w:rPr>
        <w:t>至</w:t>
      </w:r>
      <w:r>
        <w:rPr>
          <w:rFonts w:ascii="Times New Roman" w:eastAsia="標楷體" w:hAnsi="Times New Roman"/>
          <w:b/>
          <w:bCs/>
          <w:sz w:val="28"/>
          <w:szCs w:val="28"/>
        </w:rPr>
        <w:t>113</w:t>
      </w:r>
      <w:r>
        <w:rPr>
          <w:rFonts w:ascii="Times New Roman" w:eastAsia="標楷體" w:hAnsi="Times New Roman"/>
          <w:b/>
          <w:bCs/>
          <w:sz w:val="28"/>
          <w:szCs w:val="28"/>
        </w:rPr>
        <w:t>學年度核定準公共充實及改善設施設備費項目</w:t>
      </w:r>
      <w:r>
        <w:rPr>
          <w:rFonts w:ascii="Times New Roman" w:eastAsia="標楷體" w:hAnsi="Times New Roman"/>
          <w:b/>
          <w:bCs/>
          <w:sz w:val="28"/>
          <w:szCs w:val="28"/>
        </w:rPr>
        <w:t>(113</w:t>
      </w:r>
      <w:r>
        <w:rPr>
          <w:rFonts w:ascii="Times New Roman" w:eastAsia="標楷體" w:hAnsi="Times New Roman"/>
          <w:b/>
          <w:bCs/>
          <w:sz w:val="28"/>
          <w:szCs w:val="28"/>
        </w:rPr>
        <w:t>學年度經費倘尚未核定，請填寫申請項目</w:t>
      </w:r>
      <w:r>
        <w:rPr>
          <w:rFonts w:ascii="Times New Roman" w:eastAsia="標楷體" w:hAnsi="Times New Roman"/>
          <w:b/>
          <w:bCs/>
          <w:sz w:val="28"/>
          <w:szCs w:val="28"/>
        </w:rPr>
        <w:t>)</w:t>
      </w: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603"/>
        <w:gridCol w:w="1650"/>
        <w:gridCol w:w="1978"/>
      </w:tblGrid>
      <w:tr w:rsidR="003D67E1">
        <w:tblPrEx>
          <w:tblCellMar>
            <w:top w:w="0" w:type="dxa"/>
            <w:bottom w:w="0" w:type="dxa"/>
          </w:tblCellMar>
        </w:tblPrEx>
        <w:trPr>
          <w:trHeight w:val="467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補助項目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學年度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補助品項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摘述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補助經費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施作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使用地點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教學設施設備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遊戲設施設備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不含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>109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學年度一次性補助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安全設施設備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環境設施設備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改善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lastRenderedPageBreak/>
              <w:t>資訊設備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含廣播系統、監控防盗系統及周邊設備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)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>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>其他項目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1" w:rsidRDefault="003D67E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:rsidR="003D67E1" w:rsidRDefault="00A94A0A">
      <w:pPr>
        <w:pStyle w:val="Textbody"/>
        <w:spacing w:line="440" w:lineRule="exact"/>
        <w:ind w:left="561" w:hanging="561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：欄位不足請自行增列</w:t>
      </w:r>
    </w:p>
    <w:p w:rsidR="003D67E1" w:rsidRDefault="00A94A0A">
      <w:pPr>
        <w:pStyle w:val="Textbody"/>
        <w:snapToGrid w:val="0"/>
        <w:spacing w:line="440" w:lineRule="exact"/>
        <w:ind w:left="561" w:hanging="561"/>
        <w:rPr>
          <w:rFonts w:ascii="Times New Roman" w:eastAsia="標楷體" w:hAnsi="Times New Roman"/>
          <w:color w:val="FF0000"/>
          <w:szCs w:val="24"/>
        </w:rPr>
      </w:pPr>
      <w:proofErr w:type="gramStart"/>
      <w:r>
        <w:rPr>
          <w:rFonts w:ascii="Times New Roman" w:eastAsia="標楷體" w:hAnsi="Times New Roman"/>
          <w:color w:val="FF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FF0000"/>
          <w:szCs w:val="24"/>
        </w:rPr>
        <w:t>：請檢附財產清冊，備供查核。</w:t>
      </w:r>
    </w:p>
    <w:p w:rsidR="003D67E1" w:rsidRDefault="00A94A0A">
      <w:pPr>
        <w:pStyle w:val="Textbody"/>
        <w:spacing w:before="180" w:after="120" w:line="440" w:lineRule="exact"/>
        <w:ind w:left="561" w:hanging="561"/>
      </w:pPr>
      <w:r>
        <w:rPr>
          <w:rFonts w:ascii="Times New Roman" w:eastAsia="標楷體" w:hAnsi="Times New Roman"/>
          <w:b/>
          <w:bCs/>
          <w:sz w:val="28"/>
          <w:szCs w:val="28"/>
        </w:rPr>
        <w:t>肆、</w:t>
      </w:r>
      <w:r>
        <w:rPr>
          <w:rFonts w:ascii="Times New Roman" w:eastAsia="標楷體" w:hAnsi="Times New Roman"/>
          <w:b/>
          <w:bCs/>
          <w:sz w:val="28"/>
          <w:szCs w:val="28"/>
        </w:rPr>
        <w:t>113</w:t>
      </w:r>
      <w:r>
        <w:rPr>
          <w:rFonts w:ascii="Times New Roman" w:eastAsia="標楷體" w:hAnsi="Times New Roman"/>
          <w:b/>
          <w:bCs/>
          <w:sz w:val="28"/>
          <w:szCs w:val="28"/>
        </w:rPr>
        <w:t>學年度調整師生比之一次性整備金申請補助項目</w:t>
      </w:r>
    </w:p>
    <w:tbl>
      <w:tblPr>
        <w:tblW w:w="96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2484"/>
        <w:gridCol w:w="6272"/>
      </w:tblGrid>
      <w:tr w:rsidR="003D67E1">
        <w:tblPrEx>
          <w:tblCellMar>
            <w:top w:w="0" w:type="dxa"/>
            <w:bottom w:w="0" w:type="dxa"/>
          </w:tblCellMar>
        </w:tblPrEx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項目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規劃重點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ind w:left="-120" w:right="-120"/>
              <w:jc w:val="center"/>
            </w:pPr>
            <w:r>
              <w:rPr>
                <w:rFonts w:ascii="Times New Roman" w:eastAsia="標楷體" w:hAnsi="Times New Roman"/>
                <w:bCs/>
                <w:color w:val="80808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808080"/>
                <w:szCs w:val="24"/>
              </w:rPr>
              <w:t>示例</w:t>
            </w:r>
            <w:r>
              <w:rPr>
                <w:rFonts w:ascii="Times New Roman" w:eastAsia="標楷體" w:hAnsi="Times New Roman"/>
                <w:bCs/>
                <w:color w:val="808080"/>
                <w:szCs w:val="24"/>
              </w:rPr>
              <w:t>)</w:t>
            </w:r>
          </w:p>
          <w:p w:rsidR="003D67E1" w:rsidRDefault="00A94A0A">
            <w:pPr>
              <w:pStyle w:val="Textbody"/>
              <w:ind w:left="-120" w:right="-120"/>
              <w:jc w:val="center"/>
            </w:pPr>
            <w:r>
              <w:rPr>
                <w:rFonts w:ascii="思源黑體 TW Regular" w:eastAsia="思源黑體 TW Regular" w:hAnsi="思源黑體 TW Regular"/>
                <w:bCs/>
                <w:color w:val="808080"/>
                <w:szCs w:val="24"/>
              </w:rPr>
              <w:t>✓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</w:pP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室內活動室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jc w:val="both"/>
            </w:pP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1-1</w:t>
            </w: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學習區：</w:t>
            </w:r>
            <w:proofErr w:type="gramStart"/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汰</w:t>
            </w:r>
            <w:proofErr w:type="gramEnd"/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換教具櫃、購置教具及繪本</w:t>
            </w:r>
          </w:p>
          <w:p w:rsidR="003D67E1" w:rsidRDefault="00A94A0A">
            <w:pPr>
              <w:pStyle w:val="Textbody"/>
              <w:jc w:val="both"/>
            </w:pP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1-2</w:t>
            </w:r>
            <w:proofErr w:type="gramStart"/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汰</w:t>
            </w:r>
            <w:proofErr w:type="gramEnd"/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換冷氣：</w:t>
            </w: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購置，達使用年限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ind w:left="-120" w:right="-120"/>
              <w:jc w:val="center"/>
            </w:pPr>
            <w:r>
              <w:rPr>
                <w:rFonts w:ascii="思源黑體 TW Regular" w:eastAsia="思源黑體 TW Regular" w:hAnsi="思源黑體 TW Regular"/>
                <w:bCs/>
                <w:color w:val="808080"/>
                <w:szCs w:val="24"/>
              </w:rPr>
              <w:t>✓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</w:pP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戶外活動空間</w:t>
            </w: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含遊戲器材</w:t>
            </w: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)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</w:pP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2-1</w:t>
            </w: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打造生態教學園區</w:t>
            </w:r>
          </w:p>
          <w:p w:rsidR="003D67E1" w:rsidRDefault="00A94A0A">
            <w:pPr>
              <w:pStyle w:val="Textbody"/>
            </w:pPr>
            <w:r>
              <w:rPr>
                <w:rFonts w:ascii="Times New Roman" w:eastAsia="標楷體" w:hAnsi="Times New Roman"/>
                <w:bCs/>
                <w:color w:val="808080"/>
                <w:sz w:val="28"/>
                <w:szCs w:val="28"/>
              </w:rPr>
              <w:t>2-2</w:t>
            </w: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遊戲</w:t>
            </w: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體能器材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室內活動室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戶外活動空間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盥洗室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含廁所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廚房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:rsidR="003D67E1" w:rsidRDefault="00A94A0A">
      <w:pPr>
        <w:pStyle w:val="Textbody"/>
        <w:spacing w:line="440" w:lineRule="exact"/>
        <w:ind w:left="561" w:hanging="561"/>
      </w:pP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：欄位不足請自行增列</w:t>
      </w:r>
    </w:p>
    <w:p w:rsidR="003D67E1" w:rsidRDefault="00A94A0A">
      <w:pPr>
        <w:pStyle w:val="Textbody"/>
        <w:spacing w:before="180" w:line="440" w:lineRule="exact"/>
        <w:ind w:left="561" w:hanging="561"/>
      </w:pPr>
      <w:r>
        <w:rPr>
          <w:rFonts w:ascii="Times New Roman" w:eastAsia="標楷體" w:hAnsi="Times New Roman"/>
          <w:b/>
          <w:bCs/>
          <w:sz w:val="28"/>
          <w:szCs w:val="28"/>
        </w:rPr>
        <w:t>伍、經費概算表：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報價費用應含稅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3D67E1" w:rsidRDefault="00A94A0A">
      <w:pPr>
        <w:pStyle w:val="Textbody"/>
        <w:spacing w:line="440" w:lineRule="exact"/>
        <w:ind w:left="480" w:hanging="480"/>
        <w:jc w:val="right"/>
      </w:pPr>
      <w:r>
        <w:rPr>
          <w:rFonts w:ascii="Times New Roman" w:eastAsia="標楷體" w:hAnsi="Times New Roman"/>
          <w:bCs/>
          <w:szCs w:val="24"/>
        </w:rPr>
        <w:t>單位：元</w:t>
      </w: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802"/>
        <w:gridCol w:w="851"/>
        <w:gridCol w:w="850"/>
        <w:gridCol w:w="852"/>
        <w:gridCol w:w="849"/>
        <w:gridCol w:w="2584"/>
      </w:tblGrid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widowControl/>
              <w:spacing w:line="440" w:lineRule="exact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用途說明</w:t>
            </w: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Textbody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總計</w:t>
            </w:r>
          </w:p>
        </w:tc>
        <w:tc>
          <w:tcPr>
            <w:tcW w:w="5986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3D67E1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7E1">
        <w:tblPrEx>
          <w:tblCellMar>
            <w:top w:w="0" w:type="dxa"/>
            <w:bottom w:w="0" w:type="dxa"/>
          </w:tblCellMar>
        </w:tblPrEx>
        <w:trPr>
          <w:trHeight w:val="6006"/>
        </w:trPr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  <w:vAlign w:val="center"/>
          </w:tcPr>
          <w:p w:rsidR="003D67E1" w:rsidRDefault="00A94A0A">
            <w:pPr>
              <w:pStyle w:val="Textbody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788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08" w:type="dxa"/>
            </w:tcMar>
          </w:tcPr>
          <w:p w:rsidR="003D67E1" w:rsidRDefault="00A94A0A">
            <w:pPr>
              <w:pStyle w:val="a9"/>
              <w:numPr>
                <w:ilvl w:val="0"/>
                <w:numId w:val="1"/>
              </w:numPr>
              <w:ind w:left="170" w:hanging="17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學年度最高補助總額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萬元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；申請金額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超過總補助經費，以最高補助經費計。</w:t>
            </w:r>
          </w:p>
          <w:p w:rsidR="003D67E1" w:rsidRDefault="00A94A0A">
            <w:pPr>
              <w:pStyle w:val="a9"/>
              <w:numPr>
                <w:ilvl w:val="0"/>
                <w:numId w:val="1"/>
              </w:numPr>
              <w:ind w:left="198" w:hanging="198"/>
              <w:jc w:val="both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本要點補助經費，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應包括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教學設施設備、遊戲設施設備、安全設施設備、環境設施設備或消防設施設備改善等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費用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基於不重複補助原則，如以同一或類似之補助項目，申請並獲</w:t>
            </w:r>
            <w:proofErr w:type="gramStart"/>
            <w:r>
              <w:rPr>
                <w:rFonts w:eastAsia="標楷體"/>
                <w:sz w:val="28"/>
                <w:szCs w:val="28"/>
              </w:rPr>
              <w:t>本署補助準</w:t>
            </w:r>
            <w:proofErr w:type="gramEnd"/>
            <w:r>
              <w:rPr>
                <w:rFonts w:eastAsia="標楷體"/>
                <w:sz w:val="28"/>
                <w:szCs w:val="28"/>
              </w:rPr>
              <w:t>公共教保服務機構充實及改善教學設施設備經費者，不予補助。</w:t>
            </w:r>
          </w:p>
          <w:p w:rsidR="003D67E1" w:rsidRDefault="00A94A0A">
            <w:pPr>
              <w:pStyle w:val="a9"/>
              <w:numPr>
                <w:ilvl w:val="0"/>
                <w:numId w:val="1"/>
              </w:numPr>
              <w:ind w:left="170" w:hanging="17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經地方政府確認基本設施設備及教學器材教具已設置周全者，核定補助經費之一定比率（已加入一期程者，最高為百分之三十，已加入二期程者，最高為百分之五十），得支用於幼兒園及教保中心之稅務規費、水費、電費、燃料費、清潔消毒費、立案範圍土地及建築物租賃費、委外會計師或記帳士記帳費、薪資轉帳手續費、相關檢驗費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消防、公共安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全、遊戲設施、水質及空氣品質等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、保險費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火險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等費用。</w:t>
            </w:r>
          </w:p>
          <w:p w:rsidR="003D67E1" w:rsidRDefault="00A94A0A">
            <w:pPr>
              <w:pStyle w:val="a9"/>
              <w:numPr>
                <w:ilvl w:val="0"/>
                <w:numId w:val="1"/>
              </w:numPr>
              <w:ind w:left="198" w:hanging="198"/>
              <w:jc w:val="both"/>
            </w:pP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申請購置資訊設備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及周邊配件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補助基準：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電腦</w:t>
            </w:r>
            <w:proofErr w:type="gramStart"/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包括桌機、筆電，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每組應包括螢幕、鍵盤、滑鼠、主機及作業系統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)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及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攝影機以每臺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3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萬元為上限、相機以每臺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1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萬元為上限、印表機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含墨水匣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以每臺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2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  <w:lang w:val="zh-TW"/>
              </w:rPr>
              <w:t>萬元為上限。</w:t>
            </w:r>
          </w:p>
          <w:p w:rsidR="003D67E1" w:rsidRDefault="00A94A0A">
            <w:pPr>
              <w:pStyle w:val="a9"/>
              <w:numPr>
                <w:ilvl w:val="0"/>
                <w:numId w:val="1"/>
              </w:numPr>
              <w:ind w:left="198" w:hanging="198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申請品項如涉及資訊設備、投影機、攝錄影機、數位視訊、廣播系統、監控防盗系統設備及周邊設備等，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申請購置總價不得逾各該園總補助經費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30%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，但經地方政府同意者，不在此限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  <w:t>。</w:t>
            </w:r>
          </w:p>
          <w:p w:rsidR="003D67E1" w:rsidRDefault="00A94A0A">
            <w:pPr>
              <w:pStyle w:val="a9"/>
              <w:numPr>
                <w:ilvl w:val="0"/>
                <w:numId w:val="1"/>
              </w:numPr>
              <w:ind w:left="198" w:hanging="198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補助項目涉及「幼兒園及其分班基本設施設備標準」者，應依其規定進行施作，如成品未符規定，其重製費用不予補助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。</w:t>
            </w:r>
          </w:p>
          <w:p w:rsidR="003D67E1" w:rsidRDefault="00A94A0A">
            <w:pPr>
              <w:pStyle w:val="a9"/>
              <w:numPr>
                <w:ilvl w:val="0"/>
                <w:numId w:val="1"/>
              </w:numPr>
              <w:ind w:left="198" w:hanging="198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核定補助項目如因停產、進出口限制等因素，致廠商無法供應現貨者，教保服務機構應以同等商品代替，或向主管機關申請更換品項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。</w:t>
            </w:r>
          </w:p>
          <w:p w:rsidR="003D67E1" w:rsidRDefault="00A94A0A">
            <w:pPr>
              <w:pStyle w:val="a9"/>
              <w:numPr>
                <w:ilvl w:val="0"/>
                <w:numId w:val="1"/>
              </w:numPr>
              <w:ind w:left="198" w:hanging="198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所採購之設備，應於設備上以標籤註記「教育部補（捐）助」字樣，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繳交核結成果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報告時需清晰可見，並在財產帳上列明。</w:t>
            </w:r>
          </w:p>
          <w:p w:rsidR="003D67E1" w:rsidRDefault="00A94A0A">
            <w:pPr>
              <w:pStyle w:val="a9"/>
              <w:numPr>
                <w:ilvl w:val="0"/>
                <w:numId w:val="1"/>
              </w:numPr>
              <w:ind w:left="198" w:hanging="198"/>
              <w:jc w:val="both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本表欄位不足請自行增列。</w:t>
            </w:r>
          </w:p>
        </w:tc>
      </w:tr>
    </w:tbl>
    <w:p w:rsidR="003D67E1" w:rsidRDefault="00A94A0A">
      <w:pPr>
        <w:pStyle w:val="Textbody"/>
        <w:spacing w:before="180" w:line="440" w:lineRule="exact"/>
        <w:ind w:left="561" w:hanging="561"/>
      </w:pPr>
      <w:r>
        <w:rPr>
          <w:rFonts w:ascii="Times New Roman" w:eastAsia="標楷體" w:hAnsi="Times New Roman"/>
          <w:b/>
          <w:bCs/>
          <w:sz w:val="28"/>
          <w:szCs w:val="28"/>
        </w:rPr>
        <w:t>陸、其他事項</w:t>
      </w:r>
    </w:p>
    <w:p w:rsidR="003D67E1" w:rsidRDefault="00A94A0A">
      <w:pPr>
        <w:pStyle w:val="Textbody"/>
        <w:spacing w:line="440" w:lineRule="exact"/>
        <w:ind w:left="800" w:hanging="560"/>
        <w:jc w:val="both"/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  <w:lang w:val="zh-TW"/>
        </w:rPr>
        <w:t>教保服務機構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  <w:lang w:val="zh-TW"/>
        </w:rPr>
        <w:t>提報核結成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  <w:lang w:val="zh-TW"/>
        </w:rPr>
        <w:t>果時，應依核定品項逐一檢附照片，若為修繕或汰換項目者，應提供施工前後對照之照片</w:t>
      </w:r>
      <w:r>
        <w:rPr>
          <w:rFonts w:ascii="Times New Roman" w:eastAsia="標楷體" w:hAnsi="Times New Roman"/>
          <w:bCs/>
          <w:sz w:val="28"/>
          <w:szCs w:val="28"/>
        </w:rPr>
        <w:t>。</w:t>
      </w:r>
    </w:p>
    <w:p w:rsidR="003D67E1" w:rsidRDefault="00A94A0A">
      <w:pPr>
        <w:pStyle w:val="Textbody"/>
        <w:spacing w:line="440" w:lineRule="exact"/>
        <w:ind w:left="800" w:hanging="560"/>
        <w:jc w:val="both"/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lang w:val="zh-TW"/>
        </w:rPr>
        <w:t>為符合幼兒身心發展，請貴局</w:t>
      </w:r>
      <w:r>
        <w:rPr>
          <w:rFonts w:ascii="標楷體" w:eastAsia="標楷體" w:hAnsi="標楷體"/>
          <w:color w:val="000000"/>
          <w:kern w:val="0"/>
          <w:sz w:val="28"/>
          <w:szCs w:val="28"/>
          <w:lang w:val="zh-TW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  <w:lang w:val="zh-TW"/>
        </w:rPr>
        <w:t>府</w:t>
      </w:r>
      <w:r>
        <w:rPr>
          <w:rFonts w:ascii="標楷體" w:eastAsia="標楷體" w:hAnsi="標楷體"/>
          <w:color w:val="000000"/>
          <w:kern w:val="0"/>
          <w:sz w:val="28"/>
          <w:szCs w:val="28"/>
          <w:lang w:val="zh-TW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lang w:val="zh-TW"/>
        </w:rPr>
        <w:t>督導教保服務機構，申請購置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教材教具等應符合商品安全標章及中文標示，且其內容應符合</w:t>
      </w:r>
      <w:r>
        <w:rPr>
          <w:rFonts w:ascii="標楷體" w:eastAsia="標楷體" w:hAnsi="標楷體" w:cs="標楷體"/>
          <w:kern w:val="0"/>
          <w:sz w:val="28"/>
          <w:szCs w:val="28"/>
          <w:lang w:val="zh-TW"/>
        </w:rPr>
        <w:t>幼兒教保及照顧服務實</w:t>
      </w:r>
      <w:r>
        <w:rPr>
          <w:rFonts w:ascii="Times New Roman" w:eastAsia="標楷體" w:hAnsi="Times New Roman"/>
          <w:kern w:val="0"/>
          <w:sz w:val="28"/>
          <w:szCs w:val="28"/>
          <w:lang w:val="zh-TW"/>
        </w:rPr>
        <w:t>施準則第</w:t>
      </w:r>
      <w:r>
        <w:rPr>
          <w:rFonts w:ascii="Times New Roman" w:eastAsia="標楷體" w:hAnsi="Times New Roman"/>
          <w:kern w:val="0"/>
          <w:sz w:val="28"/>
          <w:szCs w:val="28"/>
          <w:lang w:val="zh-TW"/>
        </w:rPr>
        <w:t>13</w:t>
      </w:r>
      <w:r>
        <w:rPr>
          <w:rFonts w:ascii="Times New Roman" w:eastAsia="標楷體" w:hAnsi="Times New Roman"/>
          <w:kern w:val="0"/>
          <w:sz w:val="28"/>
          <w:szCs w:val="28"/>
          <w:lang w:val="zh-TW"/>
        </w:rPr>
        <w:t>條及教育基本法第</w:t>
      </w:r>
      <w:r>
        <w:rPr>
          <w:rFonts w:ascii="Times New Roman" w:eastAsia="標楷體" w:hAnsi="Times New Roman"/>
          <w:kern w:val="0"/>
          <w:sz w:val="28"/>
          <w:szCs w:val="28"/>
          <w:lang w:val="zh-TW"/>
        </w:rPr>
        <w:t>6</w:t>
      </w:r>
      <w:r>
        <w:rPr>
          <w:rFonts w:ascii="Times New Roman" w:eastAsia="標楷體" w:hAnsi="Times New Roman"/>
          <w:kern w:val="0"/>
          <w:sz w:val="28"/>
          <w:szCs w:val="28"/>
          <w:lang w:val="zh-TW"/>
        </w:rPr>
        <w:t>條教</w:t>
      </w:r>
      <w:r>
        <w:rPr>
          <w:rFonts w:ascii="標楷體" w:eastAsia="標楷體" w:hAnsi="標楷體" w:cs="標楷體"/>
          <w:kern w:val="0"/>
          <w:sz w:val="28"/>
          <w:szCs w:val="28"/>
          <w:lang w:val="zh-TW"/>
        </w:rPr>
        <w:t>育中立原則；又數位化資訊、影像等系統或設備，應符合資訊安全標準及規範。</w:t>
      </w:r>
    </w:p>
    <w:p w:rsidR="003D67E1" w:rsidRDefault="00A94A0A">
      <w:pPr>
        <w:pStyle w:val="Textbody"/>
        <w:spacing w:line="440" w:lineRule="exact"/>
        <w:ind w:left="589" w:hanging="589"/>
        <w:jc w:val="both"/>
      </w:pPr>
      <w:bookmarkStart w:id="3" w:name="_Hlk18253860"/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、準公共教保服務機構未依核定補助項目及經費，核實辦理設施設備修繕及採購者，經地方政府查察屬實者，應返還各該項補助項目之全額經費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，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餘請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依本要點第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19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點規定辦理。</w:t>
      </w:r>
    </w:p>
    <w:p w:rsidR="003D67E1" w:rsidRDefault="00A94A0A">
      <w:pPr>
        <w:pStyle w:val="Textbody"/>
        <w:spacing w:line="440" w:lineRule="exact"/>
      </w:pPr>
      <w:r>
        <w:rPr>
          <w:rFonts w:ascii="Times New Roman" w:eastAsia="標楷體" w:hAnsi="Times New Roman"/>
          <w:b/>
          <w:bCs/>
          <w:sz w:val="28"/>
          <w:szCs w:val="28"/>
        </w:rPr>
        <w:lastRenderedPageBreak/>
        <w:t>承辦人：　　　　　　　　　園長</w:t>
      </w:r>
      <w:r>
        <w:rPr>
          <w:rFonts w:ascii="標楷體" w:eastAsia="標楷體" w:hAnsi="標楷體"/>
          <w:b/>
          <w:bCs/>
          <w:sz w:val="28"/>
          <w:szCs w:val="28"/>
        </w:rPr>
        <w:t>(</w:t>
      </w:r>
      <w:r>
        <w:rPr>
          <w:rFonts w:ascii="標楷體" w:eastAsia="標楷體" w:hAnsi="標楷體"/>
          <w:b/>
          <w:bCs/>
          <w:sz w:val="28"/>
          <w:szCs w:val="28"/>
        </w:rPr>
        <w:t>中心主任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bookmarkEnd w:id="3"/>
      <w:r>
        <w:rPr>
          <w:rFonts w:ascii="Times New Roman" w:eastAsia="標楷體" w:hAnsi="Times New Roman"/>
          <w:b/>
          <w:bCs/>
          <w:sz w:val="28"/>
          <w:szCs w:val="28"/>
        </w:rPr>
        <w:t xml:space="preserve">：　　　　　　　　　　</w:t>
      </w:r>
    </w:p>
    <w:sectPr w:rsidR="003D67E1">
      <w:footerReference w:type="default" r:id="rId8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0A" w:rsidRDefault="00A94A0A">
      <w:r>
        <w:separator/>
      </w:r>
    </w:p>
  </w:endnote>
  <w:endnote w:type="continuationSeparator" w:id="0">
    <w:p w:rsidR="00A94A0A" w:rsidRDefault="00A9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體 TW Regular">
    <w:panose1 w:val="020B0500000000000000"/>
    <w:charset w:val="88"/>
    <w:family w:val="swiss"/>
    <w:notTrueType/>
    <w:pitch w:val="variable"/>
    <w:sig w:usb0="2000020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2E7" w:rsidRDefault="00A94A0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0A" w:rsidRDefault="00A94A0A">
      <w:r>
        <w:rPr>
          <w:color w:val="00000A"/>
        </w:rPr>
        <w:separator/>
      </w:r>
    </w:p>
  </w:footnote>
  <w:footnote w:type="continuationSeparator" w:id="0">
    <w:p w:rsidR="00A94A0A" w:rsidRDefault="00A9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347"/>
    <w:multiLevelType w:val="multilevel"/>
    <w:tmpl w:val="12AE090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67E1"/>
    <w:rsid w:val="003D67E1"/>
    <w:rsid w:val="004D54AD"/>
    <w:rsid w:val="00A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D1070-33B6-479E-9343-AB0144E4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F" w:hAnsi="Calibri" w:cs="Calibri"/>
      <w:color w:val="00000A"/>
      <w:kern w:val="3"/>
      <w:sz w:val="24"/>
      <w:szCs w:val="22"/>
    </w:rPr>
  </w:style>
  <w:style w:type="paragraph" w:styleId="a3">
    <w:name w:val="Body Text"/>
    <w:basedOn w:val="Textbody"/>
    <w:pPr>
      <w:spacing w:after="140" w:line="288" w:lineRule="auto"/>
    </w:p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框架內容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styleId="a9">
    <w:name w:val="List Paragraph"/>
    <w:basedOn w:val="Textbody"/>
    <w:pPr>
      <w:ind w:left="480"/>
    </w:pPr>
  </w:style>
  <w:style w:type="character" w:customStyle="1" w:styleId="aa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c">
    <w:name w:val="Hyperlin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1591</Characters>
  <Application>Microsoft Office Word</Application>
  <DocSecurity>0</DocSecurity>
  <Lines>13</Lines>
  <Paragraphs>3</Paragraphs>
  <ScaleCrop>false</ScaleCrop>
  <Company>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陳怡安</cp:lastModifiedBy>
  <cp:revision>2</cp:revision>
  <cp:lastPrinted>2024-07-18T03:39:00Z</cp:lastPrinted>
  <dcterms:created xsi:type="dcterms:W3CDTF">2024-10-04T08:24:00Z</dcterms:created>
  <dcterms:modified xsi:type="dcterms:W3CDTF">2024-10-04T08:24:00Z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