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12" w:rsidRPr="00885862" w:rsidRDefault="00D86012" w:rsidP="00416775">
      <w:pPr>
        <w:adjustRightInd w:val="0"/>
        <w:snapToGrid w:val="0"/>
        <w:spacing w:before="100" w:beforeAutospacing="1" w:after="100" w:afterAutospacing="1"/>
        <w:jc w:val="center"/>
        <w:rPr>
          <w:rFonts w:ascii="Times New Roman" w:eastAsia="標楷體" w:hAnsi="Times New Roman"/>
          <w:b/>
          <w:sz w:val="32"/>
          <w:szCs w:val="32"/>
        </w:rPr>
      </w:pPr>
      <w:r w:rsidRPr="00885862">
        <w:rPr>
          <w:rFonts w:ascii="Times New Roman" w:eastAsia="標楷體" w:hAnsi="Times New Roman" w:hint="eastAsia"/>
          <w:b/>
          <w:sz w:val="32"/>
          <w:szCs w:val="32"/>
        </w:rPr>
        <w:t>教育部國民及學前教育署</w:t>
      </w:r>
      <w:r w:rsidRPr="00885862">
        <w:rPr>
          <w:rFonts w:ascii="Times New Roman" w:eastAsia="標楷體" w:hAnsi="Times New Roman" w:hint="eastAsia"/>
          <w:b/>
          <w:kern w:val="24"/>
          <w:sz w:val="32"/>
          <w:szCs w:val="32"/>
        </w:rPr>
        <w:t>補助</w:t>
      </w:r>
      <w:r w:rsidRPr="00885862">
        <w:rPr>
          <w:rFonts w:ascii="Times New Roman" w:eastAsia="標楷體" w:hAnsi="Times New Roman" w:hint="eastAsia"/>
          <w:b/>
          <w:sz w:val="32"/>
          <w:szCs w:val="32"/>
        </w:rPr>
        <w:t>國民中學區域職業試探</w:t>
      </w:r>
      <w:r w:rsidRPr="00885862">
        <w:rPr>
          <w:rFonts w:ascii="Times New Roman" w:eastAsia="標楷體" w:hAnsi="Times New Roman"/>
          <w:b/>
          <w:sz w:val="32"/>
          <w:szCs w:val="32"/>
        </w:rPr>
        <w:br/>
      </w:r>
      <w:r w:rsidRPr="00885862">
        <w:rPr>
          <w:rFonts w:ascii="Times New Roman" w:eastAsia="標楷體" w:hAnsi="Times New Roman" w:hint="eastAsia"/>
          <w:b/>
          <w:sz w:val="32"/>
          <w:szCs w:val="32"/>
        </w:rPr>
        <w:t>與體驗示範中心作業要點（草案）</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kern w:val="0"/>
          <w:sz w:val="26"/>
          <w:szCs w:val="26"/>
        </w:rPr>
      </w:pPr>
      <w:r w:rsidRPr="00885862">
        <w:rPr>
          <w:rFonts w:ascii="Times New Roman" w:eastAsia="標楷體" w:hAnsi="Times New Roman" w:hint="eastAsia"/>
          <w:kern w:val="0"/>
          <w:sz w:val="26"/>
          <w:szCs w:val="26"/>
        </w:rPr>
        <w:t>一、依據：</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kern w:val="0"/>
          <w:sz w:val="26"/>
          <w:szCs w:val="26"/>
        </w:rPr>
      </w:pPr>
      <w:r w:rsidRPr="00885862">
        <w:rPr>
          <w:rFonts w:ascii="Times New Roman" w:eastAsia="標楷體" w:hAnsi="Times New Roman" w:hint="eastAsia"/>
          <w:kern w:val="0"/>
          <w:sz w:val="26"/>
          <w:szCs w:val="26"/>
        </w:rPr>
        <w:t xml:space="preserve">　　教育部國民及學前教育署（以下簡稱本署）依據技術及職業教育法及國民中學技藝教育實施辦法之規定，訂定本要點。</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kern w:val="0"/>
          <w:sz w:val="26"/>
          <w:szCs w:val="26"/>
        </w:rPr>
      </w:pPr>
      <w:r w:rsidRPr="00885862">
        <w:rPr>
          <w:rFonts w:ascii="Times New Roman" w:eastAsia="標楷體" w:hAnsi="Times New Roman" w:hint="eastAsia"/>
          <w:kern w:val="0"/>
          <w:sz w:val="26"/>
          <w:szCs w:val="26"/>
        </w:rPr>
        <w:t>二、目的：</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kern w:val="0"/>
          <w:sz w:val="26"/>
          <w:szCs w:val="26"/>
        </w:rPr>
        <w:t xml:space="preserve">　　（一）</w:t>
      </w:r>
      <w:r w:rsidRPr="00885862">
        <w:rPr>
          <w:rFonts w:ascii="Times New Roman" w:eastAsia="標楷體" w:hAnsi="Times New Roman" w:hint="eastAsia"/>
          <w:sz w:val="26"/>
          <w:szCs w:val="26"/>
        </w:rPr>
        <w:t>增進國民中小學學生對職業與工作世界之認識。</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kern w:val="0"/>
          <w:sz w:val="26"/>
          <w:szCs w:val="26"/>
        </w:rPr>
        <w:t xml:space="preserve">　　（二）</w:t>
      </w:r>
      <w:r w:rsidRPr="00885862">
        <w:rPr>
          <w:rFonts w:ascii="Times New Roman" w:eastAsia="標楷體" w:hAnsi="Times New Roman" w:hint="eastAsia"/>
          <w:sz w:val="26"/>
          <w:szCs w:val="26"/>
        </w:rPr>
        <w:t>提供國民中小學學生職業試探與興趣探索之機會。</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kern w:val="0"/>
          <w:sz w:val="26"/>
          <w:szCs w:val="26"/>
        </w:rPr>
        <w:t xml:space="preserve">　　（三）</w:t>
      </w:r>
      <w:r w:rsidRPr="00885862">
        <w:rPr>
          <w:rFonts w:ascii="Times New Roman" w:eastAsia="標楷體" w:hAnsi="Times New Roman" w:hint="eastAsia"/>
          <w:sz w:val="26"/>
          <w:szCs w:val="26"/>
        </w:rPr>
        <w:t>培育學生具備良好工作態度與建立正確職業價值觀。</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三、補助對象：</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kern w:val="0"/>
          <w:sz w:val="26"/>
          <w:szCs w:val="26"/>
        </w:rPr>
      </w:pPr>
      <w:r w:rsidRPr="00885862">
        <w:rPr>
          <w:rFonts w:ascii="Times New Roman" w:eastAsia="標楷體" w:hAnsi="Times New Roman" w:hint="eastAsia"/>
          <w:sz w:val="26"/>
          <w:szCs w:val="26"/>
        </w:rPr>
        <w:t xml:space="preserve">　　</w:t>
      </w:r>
      <w:r w:rsidRPr="00885862">
        <w:rPr>
          <w:rFonts w:ascii="Times New Roman" w:eastAsia="標楷體" w:hAnsi="Times New Roman" w:hint="eastAsia"/>
          <w:kern w:val="0"/>
          <w:sz w:val="26"/>
          <w:szCs w:val="26"/>
        </w:rPr>
        <w:t>各直轄市及各縣（市）政府（以下簡稱各縣市）。</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四、設立原則：</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kern w:val="0"/>
          <w:sz w:val="26"/>
          <w:szCs w:val="26"/>
        </w:rPr>
      </w:pPr>
      <w:r w:rsidRPr="00885862">
        <w:rPr>
          <w:rFonts w:ascii="Times New Roman" w:eastAsia="標楷體" w:hAnsi="Times New Roman" w:hint="eastAsia"/>
          <w:sz w:val="26"/>
          <w:szCs w:val="26"/>
        </w:rPr>
        <w:t xml:space="preserve">　　各縣市應選取具備辦理技藝教育經驗成效良好，且能提供相關空間及基本設施，並位處交通便利或具特殊職群需求之國民中學，擔任該縣市之國民中學區域職業試探與體驗示範中心（以下簡稱示範中心）。</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五、參與對象：</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（一）各縣市內之公立國民中學（含國立學校）</w:t>
      </w:r>
      <w:r w:rsidRPr="00885862">
        <w:rPr>
          <w:rFonts w:ascii="Times New Roman" w:eastAsia="標楷體" w:hAnsi="Times New Roman"/>
          <w:sz w:val="26"/>
          <w:szCs w:val="26"/>
        </w:rPr>
        <w:t>7</w:t>
      </w:r>
      <w:r w:rsidRPr="00885862">
        <w:rPr>
          <w:rFonts w:ascii="Times New Roman" w:eastAsia="標楷體" w:hAnsi="Times New Roman" w:hint="eastAsia"/>
          <w:sz w:val="26"/>
          <w:szCs w:val="26"/>
        </w:rPr>
        <w:t>年級至</w:t>
      </w:r>
      <w:r w:rsidRPr="00885862">
        <w:rPr>
          <w:rFonts w:ascii="Times New Roman" w:eastAsia="標楷體" w:hAnsi="Times New Roman"/>
          <w:sz w:val="26"/>
          <w:szCs w:val="26"/>
        </w:rPr>
        <w:t>9</w:t>
      </w:r>
      <w:r w:rsidRPr="00885862">
        <w:rPr>
          <w:rFonts w:ascii="Times New Roman" w:eastAsia="標楷體" w:hAnsi="Times New Roman" w:hint="eastAsia"/>
          <w:sz w:val="26"/>
          <w:szCs w:val="26"/>
        </w:rPr>
        <w:t>年級學生。</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（二）公立國民小學（含國立學校）</w:t>
      </w:r>
      <w:r w:rsidRPr="00885862">
        <w:rPr>
          <w:rFonts w:ascii="Times New Roman" w:eastAsia="標楷體" w:hAnsi="Times New Roman"/>
          <w:sz w:val="26"/>
          <w:szCs w:val="26"/>
        </w:rPr>
        <w:t>5</w:t>
      </w:r>
      <w:r w:rsidRPr="00885862">
        <w:rPr>
          <w:rFonts w:ascii="Times New Roman" w:eastAsia="標楷體" w:hAnsi="Times New Roman" w:hint="eastAsia"/>
          <w:sz w:val="26"/>
          <w:szCs w:val="26"/>
        </w:rPr>
        <w:t>年級及</w:t>
      </w:r>
      <w:r w:rsidRPr="00885862">
        <w:rPr>
          <w:rFonts w:ascii="Times New Roman" w:eastAsia="標楷體" w:hAnsi="Times New Roman"/>
          <w:sz w:val="26"/>
          <w:szCs w:val="26"/>
        </w:rPr>
        <w:t>6</w:t>
      </w:r>
      <w:r w:rsidRPr="00885862">
        <w:rPr>
          <w:rFonts w:ascii="Times New Roman" w:eastAsia="標楷體" w:hAnsi="Times New Roman" w:hint="eastAsia"/>
          <w:sz w:val="26"/>
          <w:szCs w:val="26"/>
        </w:rPr>
        <w:t>年級學生。</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六、辦理方式：</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（一）課程規劃：</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w:t>
      </w:r>
      <w:r w:rsidRPr="00885862">
        <w:rPr>
          <w:rFonts w:ascii="Times New Roman" w:eastAsia="標楷體" w:hAnsi="Times New Roman"/>
          <w:sz w:val="26"/>
          <w:szCs w:val="26"/>
        </w:rPr>
        <w:t>1.</w:t>
      </w:r>
      <w:r w:rsidRPr="00885862">
        <w:rPr>
          <w:rFonts w:ascii="Times New Roman" w:eastAsia="標楷體" w:hAnsi="Times New Roman" w:hint="eastAsia"/>
          <w:sz w:val="26"/>
          <w:szCs w:val="26"/>
        </w:rPr>
        <w:t>示範中心應以國民中學技藝教育規劃之職群為限，並依據「國民中學技藝教育課程大綱」，由國民中學與合作之高中職校共同規劃適合國民中學及國民小學學生之課程，每所示範中心應開設至少</w:t>
      </w:r>
      <w:r w:rsidRPr="00885862">
        <w:rPr>
          <w:rFonts w:ascii="Times New Roman" w:eastAsia="標楷體" w:hAnsi="Times New Roman"/>
          <w:sz w:val="26"/>
          <w:szCs w:val="26"/>
        </w:rPr>
        <w:t>2</w:t>
      </w:r>
      <w:r w:rsidRPr="00885862">
        <w:rPr>
          <w:rFonts w:ascii="Times New Roman" w:eastAsia="標楷體" w:hAnsi="Times New Roman" w:hint="eastAsia"/>
          <w:sz w:val="26"/>
          <w:szCs w:val="26"/>
        </w:rPr>
        <w:t>個職群之課程。</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w:t>
      </w:r>
      <w:r w:rsidRPr="00885862">
        <w:rPr>
          <w:rFonts w:ascii="Times New Roman" w:eastAsia="標楷體" w:hAnsi="Times New Roman"/>
          <w:sz w:val="26"/>
          <w:szCs w:val="26"/>
        </w:rPr>
        <w:t>2.</w:t>
      </w:r>
      <w:r w:rsidRPr="00885862">
        <w:rPr>
          <w:rFonts w:ascii="Times New Roman" w:eastAsia="標楷體" w:hAnsi="Times New Roman" w:hint="eastAsia"/>
          <w:sz w:val="26"/>
          <w:szCs w:val="26"/>
        </w:rPr>
        <w:t>示範中心可於學期間辦理國民中小學學生職業試探課程及體驗活動，或於寒暑假期間辦理國民中小學學生寒暑期職業試探營隊或活動。</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（二）課程內涵：示範中心規劃之課程，應包括職群內涵介紹、群科相關知識與實作體驗，並以實作體驗為主，另可安排至各技職校院、職業訓練機構或相關產業參訪。</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七、申請及審查作業：</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kern w:val="0"/>
          <w:sz w:val="26"/>
          <w:szCs w:val="26"/>
        </w:rPr>
        <w:t xml:space="preserve">　　（</w:t>
      </w:r>
      <w:r w:rsidRPr="00885862">
        <w:rPr>
          <w:rFonts w:ascii="Times New Roman" w:eastAsia="標楷體" w:hAnsi="Times New Roman" w:hint="eastAsia"/>
          <w:sz w:val="26"/>
          <w:szCs w:val="26"/>
        </w:rPr>
        <w:t>一）申請期間：依各項作業計畫訂定之時程辦理。</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（二）申請程序：由各縣市研提計畫向本署申請辦理。</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（三）審查方式及程序：各國民中學向各縣市提出計畫，由各縣市進行書面初審後，再送本署複（決）審。</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kern w:val="0"/>
          <w:sz w:val="26"/>
          <w:szCs w:val="26"/>
        </w:rPr>
      </w:pPr>
      <w:r w:rsidRPr="00885862">
        <w:rPr>
          <w:rFonts w:ascii="Times New Roman" w:eastAsia="標楷體" w:hAnsi="Times New Roman" w:hint="eastAsia"/>
          <w:sz w:val="26"/>
          <w:szCs w:val="26"/>
        </w:rPr>
        <w:t xml:space="preserve">　　（四）審</w:t>
      </w:r>
      <w:r w:rsidRPr="00885862">
        <w:rPr>
          <w:rFonts w:ascii="Times New Roman" w:eastAsia="標楷體" w:hAnsi="Times New Roman" w:hint="eastAsia"/>
          <w:kern w:val="0"/>
          <w:sz w:val="26"/>
          <w:szCs w:val="26"/>
        </w:rPr>
        <w:t>查原則：以補助項目及經費基準為原則，並經會議決定之。</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八、補助原則：</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kern w:val="0"/>
          <w:sz w:val="26"/>
          <w:szCs w:val="26"/>
        </w:rPr>
        <w:t xml:space="preserve">　　（一）</w:t>
      </w:r>
      <w:r w:rsidRPr="00885862">
        <w:rPr>
          <w:rFonts w:ascii="Times New Roman" w:eastAsia="標楷體" w:hAnsi="Times New Roman" w:hint="eastAsia"/>
          <w:sz w:val="26"/>
          <w:szCs w:val="26"/>
        </w:rPr>
        <w:t>新設立之中心：每中心補助經費新臺幣（以下同）四百五十萬元，建置該中心開設職群所需設備及相關費用，補助項目及經費基準如附表一。</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（二）設立第二年起：既有中心每中心每年補助經常門一百五十萬元</w:t>
      </w:r>
      <w:r w:rsidRPr="00885862">
        <w:rPr>
          <w:rFonts w:ascii="Times New Roman" w:eastAsia="標楷體" w:hAnsi="Times New Roman"/>
          <w:sz w:val="26"/>
          <w:szCs w:val="26"/>
        </w:rPr>
        <w:br/>
      </w:r>
      <w:r w:rsidRPr="00885862">
        <w:rPr>
          <w:rFonts w:ascii="Times New Roman" w:eastAsia="標楷體" w:hAnsi="Times New Roman" w:hint="eastAsia"/>
          <w:sz w:val="26"/>
          <w:szCs w:val="26"/>
        </w:rPr>
        <w:t>，辦理該中心開設職群之相關活動及設備維護。</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三）本補助依據「中央對直轄市及縣（市）政府補助辦法」規定並配合本署獲配年度預算額度，就各直轄市、縣（市）政府財力級次，給予不同補助比率，屬第一級者，最高補助比率為百分之八十五；屬第二級者，最高補助比率為百分之八十八，屬第三、四、五級者，最高補助比率為百分之九十。</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kern w:val="0"/>
          <w:sz w:val="26"/>
          <w:szCs w:val="26"/>
        </w:rPr>
      </w:pPr>
      <w:r w:rsidRPr="00885862">
        <w:rPr>
          <w:rFonts w:ascii="Times New Roman" w:eastAsia="標楷體" w:hAnsi="Times New Roman" w:hint="eastAsia"/>
          <w:sz w:val="26"/>
          <w:szCs w:val="26"/>
        </w:rPr>
        <w:t xml:space="preserve">　　（四）本補助要點</w:t>
      </w:r>
      <w:r w:rsidRPr="00885862">
        <w:rPr>
          <w:rFonts w:ascii="Times New Roman" w:eastAsia="標楷體" w:hAnsi="Times New Roman" w:hint="eastAsia"/>
          <w:kern w:val="0"/>
          <w:sz w:val="26"/>
          <w:szCs w:val="26"/>
        </w:rPr>
        <w:t>得依本署預算編列情形、地方政府財政狀況及因應天然災害或其他特殊需要予以調整。</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kern w:val="0"/>
          <w:sz w:val="26"/>
          <w:szCs w:val="26"/>
        </w:rPr>
        <w:t xml:space="preserve">　　（五）</w:t>
      </w:r>
      <w:r w:rsidRPr="00885862">
        <w:rPr>
          <w:rFonts w:ascii="Times New Roman" w:eastAsia="標楷體" w:hAnsi="Times New Roman" w:hint="eastAsia"/>
          <w:sz w:val="26"/>
          <w:szCs w:val="26"/>
        </w:rPr>
        <w:t>前述補助經費之請撥、執行及結報應依據「教育部補助及委辦經費核撥結報作業要點」規定辦理。</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九、中心人力設置：</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（一）各中心為辦理相關業務得視需求補助</w:t>
      </w:r>
      <w:r w:rsidRPr="00885862">
        <w:rPr>
          <w:rFonts w:ascii="Times New Roman" w:eastAsia="標楷體" w:hAnsi="Times New Roman"/>
          <w:sz w:val="26"/>
          <w:szCs w:val="26"/>
        </w:rPr>
        <w:t>1</w:t>
      </w:r>
      <w:r w:rsidRPr="00885862">
        <w:rPr>
          <w:rFonts w:ascii="Times New Roman" w:eastAsia="標楷體" w:hAnsi="Times New Roman" w:hint="eastAsia"/>
          <w:sz w:val="26"/>
          <w:szCs w:val="26"/>
        </w:rPr>
        <w:t>名教學實習組長負責中心相關業務，其職務加給準用「公立中小學校校長、幼兒園園長及教師兼任主管人員主管職務加給表」規定支給。</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（二）各中心得聘任</w:t>
      </w:r>
      <w:r w:rsidRPr="00885862">
        <w:rPr>
          <w:rFonts w:ascii="Times New Roman" w:eastAsia="標楷體" w:hAnsi="Times New Roman"/>
          <w:sz w:val="26"/>
          <w:szCs w:val="26"/>
        </w:rPr>
        <w:t>1</w:t>
      </w:r>
      <w:r w:rsidRPr="00885862">
        <w:rPr>
          <w:rFonts w:ascii="Times New Roman" w:eastAsia="標楷體" w:hAnsi="Times New Roman" w:hint="eastAsia"/>
          <w:sz w:val="26"/>
          <w:szCs w:val="26"/>
        </w:rPr>
        <w:t>位專職人員，協助辦理中心業務。</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（三）各中心辦理課程教學應由具有任教職群專長之教師或該行業實務專家擔任，並優先進用已取得合格教師證書，且具有與任教職群相關之證照或實務經驗者。</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十、經費請撥與核銷：</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（一）由本署依申請計畫核定補助經費，並函請受補助對象依核定補助經費掣據請款。</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（二）受補助對象應於辦理結束後二個月內，依據「教育部補助及委辦經費核撥結報作業要點」規定，併同成果報告函報本署辦理核結相關事宜。</w:t>
      </w:r>
    </w:p>
    <w:p w:rsidR="00D86012" w:rsidRPr="00885862" w:rsidRDefault="00D86012" w:rsidP="00C02621">
      <w:pPr>
        <w:widowControl/>
        <w:spacing w:line="360" w:lineRule="auto"/>
        <w:ind w:left="31680" w:hangingChars="2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十一、補助成效考核：</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（一）本署得視受補助對象辦理情形，委請受補助對象規劃辦理計畫成果發表會，以分享執行成果並進行經驗交流。</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sz w:val="26"/>
          <w:szCs w:val="26"/>
        </w:rPr>
        <w:t xml:space="preserve">    </w:t>
      </w:r>
      <w:r w:rsidRPr="00885862">
        <w:rPr>
          <w:rFonts w:ascii="Times New Roman" w:eastAsia="標楷體" w:hAnsi="Times New Roman" w:hint="eastAsia"/>
          <w:sz w:val="26"/>
          <w:szCs w:val="26"/>
        </w:rPr>
        <w:t>（二）受補助對象應就行政運作、經費運用、課程與教學、教學設備及辦理成效等項目建立管理考核機制，並彙整其考核成效納入成果報告。</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 xml:space="preserve">　　（三）本署得視需要赴受補助對象了解辦理情形，並作為次一年度補助之參考。</w:t>
      </w: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p>
    <w:p w:rsidR="00D86012" w:rsidRPr="00885862" w:rsidRDefault="00D86012" w:rsidP="00C02621">
      <w:pPr>
        <w:widowControl/>
        <w:spacing w:line="360" w:lineRule="auto"/>
        <w:ind w:left="31680" w:hangingChars="500" w:firstLine="31680"/>
        <w:jc w:val="both"/>
        <w:textAlignment w:val="top"/>
        <w:rPr>
          <w:rFonts w:ascii="Times New Roman" w:eastAsia="標楷體" w:hAnsi="Times New Roman"/>
          <w:sz w:val="26"/>
          <w:szCs w:val="26"/>
        </w:rPr>
      </w:pPr>
      <w:r w:rsidRPr="00885862">
        <w:rPr>
          <w:rFonts w:ascii="Times New Roman" w:eastAsia="標楷體" w:hAnsi="Times New Roman" w:hint="eastAsia"/>
          <w:sz w:val="26"/>
          <w:szCs w:val="26"/>
        </w:rPr>
        <w:t>附表一</w:t>
      </w:r>
    </w:p>
    <w:p w:rsidR="00D86012" w:rsidRPr="00885862" w:rsidRDefault="00D86012" w:rsidP="002C1B10">
      <w:pPr>
        <w:jc w:val="center"/>
        <w:rPr>
          <w:rFonts w:ascii="標楷體" w:eastAsia="標楷體" w:hAnsi="標楷體"/>
          <w:b/>
          <w:sz w:val="28"/>
          <w:szCs w:val="28"/>
        </w:rPr>
      </w:pPr>
      <w:r w:rsidRPr="00885862">
        <w:rPr>
          <w:rFonts w:ascii="標楷體" w:eastAsia="標楷體" w:hAnsi="標楷體" w:hint="eastAsia"/>
          <w:b/>
          <w:sz w:val="28"/>
          <w:szCs w:val="28"/>
        </w:rPr>
        <w:t>國民中學區域職業試探與體驗示範中心補助項目及經費基準表</w:t>
      </w:r>
    </w:p>
    <w:p w:rsidR="00D86012" w:rsidRPr="00885862" w:rsidRDefault="00D86012" w:rsidP="00C02621">
      <w:pPr>
        <w:wordWrap w:val="0"/>
        <w:ind w:rightChars="-378" w:right="31680"/>
        <w:jc w:val="right"/>
        <w:rPr>
          <w:rFonts w:ascii="標楷體" w:eastAsia="標楷體" w:hAnsi="標楷體"/>
          <w:szCs w:val="24"/>
        </w:rPr>
      </w:pPr>
      <w:r w:rsidRPr="00885862">
        <w:rPr>
          <w:rFonts w:ascii="標楷體" w:eastAsia="標楷體" w:hAnsi="標楷體" w:hint="eastAsia"/>
          <w:szCs w:val="24"/>
        </w:rPr>
        <w:t>單位：新臺幣元</w:t>
      </w:r>
    </w:p>
    <w:tbl>
      <w:tblPr>
        <w:tblW w:w="1017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710"/>
        <w:gridCol w:w="790"/>
        <w:gridCol w:w="1725"/>
        <w:gridCol w:w="1276"/>
        <w:gridCol w:w="1363"/>
        <w:gridCol w:w="4307"/>
      </w:tblGrid>
      <w:tr w:rsidR="00D86012" w:rsidRPr="00F41CBA" w:rsidTr="00F66D04">
        <w:trPr>
          <w:trHeight w:val="591"/>
          <w:jc w:val="center"/>
        </w:trPr>
        <w:tc>
          <w:tcPr>
            <w:tcW w:w="1500" w:type="dxa"/>
            <w:gridSpan w:val="2"/>
            <w:tcBorders>
              <w:top w:val="single" w:sz="12" w:space="0" w:color="auto"/>
            </w:tcBorders>
            <w:vAlign w:val="center"/>
          </w:tcPr>
          <w:p w:rsidR="00D86012" w:rsidRPr="00885862" w:rsidRDefault="00D86012" w:rsidP="00511FF2">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經費別</w:t>
            </w:r>
          </w:p>
        </w:tc>
        <w:tc>
          <w:tcPr>
            <w:tcW w:w="1725" w:type="dxa"/>
            <w:tcBorders>
              <w:top w:val="single" w:sz="12" w:space="0" w:color="auto"/>
            </w:tcBorders>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補助項目</w:t>
            </w:r>
          </w:p>
        </w:tc>
        <w:tc>
          <w:tcPr>
            <w:tcW w:w="1276" w:type="dxa"/>
            <w:tcBorders>
              <w:top w:val="single" w:sz="12" w:space="0" w:color="auto"/>
            </w:tcBorders>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單位</w:t>
            </w:r>
          </w:p>
        </w:tc>
        <w:tc>
          <w:tcPr>
            <w:tcW w:w="1363" w:type="dxa"/>
            <w:tcBorders>
              <w:top w:val="single" w:sz="12" w:space="0" w:color="auto"/>
            </w:tcBorders>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單價</w:t>
            </w:r>
            <w:r>
              <w:rPr>
                <w:rFonts w:ascii="Times New Roman" w:eastAsia="標楷體" w:hAnsi="Times New Roman" w:hint="eastAsia"/>
                <w:kern w:val="0"/>
                <w:szCs w:val="24"/>
              </w:rPr>
              <w:t>（</w:t>
            </w:r>
            <w:bookmarkStart w:id="0" w:name="_GoBack"/>
            <w:bookmarkEnd w:id="0"/>
            <w:r w:rsidRPr="00885862">
              <w:rPr>
                <w:rFonts w:ascii="Times New Roman" w:eastAsia="標楷體" w:hAnsi="Times New Roman" w:hint="eastAsia"/>
                <w:kern w:val="0"/>
                <w:szCs w:val="24"/>
              </w:rPr>
              <w:t>元）</w:t>
            </w:r>
          </w:p>
        </w:tc>
        <w:tc>
          <w:tcPr>
            <w:tcW w:w="4307" w:type="dxa"/>
            <w:tcBorders>
              <w:top w:val="single" w:sz="12" w:space="0" w:color="auto"/>
            </w:tcBorders>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經費基準</w:t>
            </w:r>
          </w:p>
        </w:tc>
      </w:tr>
      <w:tr w:rsidR="00D86012" w:rsidRPr="00F41CBA" w:rsidTr="00511FF2">
        <w:trPr>
          <w:trHeight w:val="794"/>
          <w:jc w:val="center"/>
        </w:trPr>
        <w:tc>
          <w:tcPr>
            <w:tcW w:w="710" w:type="dxa"/>
            <w:vMerge w:val="restart"/>
            <w:textDirection w:val="tbRlV"/>
            <w:vAlign w:val="center"/>
          </w:tcPr>
          <w:p w:rsidR="00D86012" w:rsidRPr="00885862" w:rsidRDefault="00D86012" w:rsidP="002D43F3">
            <w:pPr>
              <w:adjustRightInd w:val="0"/>
              <w:spacing w:line="240" w:lineRule="atLeast"/>
              <w:ind w:left="113" w:right="113"/>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資本門</w:t>
            </w:r>
          </w:p>
        </w:tc>
        <w:tc>
          <w:tcPr>
            <w:tcW w:w="790" w:type="dxa"/>
            <w:vMerge w:val="restart"/>
            <w:textDirection w:val="tbRlV"/>
            <w:vAlign w:val="center"/>
          </w:tcPr>
          <w:p w:rsidR="00D86012" w:rsidRPr="00885862" w:rsidRDefault="00D86012" w:rsidP="0040695F">
            <w:pPr>
              <w:adjustRightInd w:val="0"/>
              <w:spacing w:line="240" w:lineRule="atLeast"/>
              <w:ind w:left="113" w:right="113"/>
              <w:jc w:val="center"/>
              <w:textAlignment w:val="baseline"/>
              <w:rPr>
                <w:rFonts w:ascii="Times New Roman" w:eastAsia="標楷體" w:hAnsi="Times New Roman"/>
                <w:kern w:val="0"/>
                <w:szCs w:val="24"/>
              </w:rPr>
            </w:pPr>
          </w:p>
        </w:tc>
        <w:tc>
          <w:tcPr>
            <w:tcW w:w="1725" w:type="dxa"/>
            <w:vAlign w:val="center"/>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設備費</w:t>
            </w:r>
          </w:p>
        </w:tc>
        <w:tc>
          <w:tcPr>
            <w:tcW w:w="1276"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p>
        </w:tc>
        <w:tc>
          <w:tcPr>
            <w:tcW w:w="1363"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p>
        </w:tc>
        <w:tc>
          <w:tcPr>
            <w:tcW w:w="4307" w:type="dxa"/>
            <w:vAlign w:val="center"/>
          </w:tcPr>
          <w:p w:rsidR="00D86012" w:rsidRPr="00885862" w:rsidRDefault="00D86012" w:rsidP="00A823B6">
            <w:pPr>
              <w:adjustRightInd w:val="0"/>
              <w:spacing w:line="240" w:lineRule="atLeast"/>
              <w:jc w:val="both"/>
              <w:textAlignment w:val="baseline"/>
              <w:rPr>
                <w:rFonts w:ascii="Times New Roman" w:eastAsia="標楷體" w:hAnsi="Times New Roman"/>
                <w:szCs w:val="24"/>
              </w:rPr>
            </w:pPr>
            <w:r w:rsidRPr="00885862">
              <w:rPr>
                <w:rFonts w:ascii="Times New Roman" w:eastAsia="標楷體" w:hAnsi="Times New Roman" w:hint="eastAsia"/>
                <w:szCs w:val="24"/>
              </w:rPr>
              <w:t>採購新設職群所需之相關設備</w:t>
            </w:r>
            <w:r w:rsidRPr="00885862">
              <w:rPr>
                <w:rFonts w:ascii="新細明體" w:hAnsi="新細明體" w:hint="eastAsia"/>
                <w:szCs w:val="24"/>
              </w:rPr>
              <w:t>，</w:t>
            </w:r>
            <w:r w:rsidRPr="00885862">
              <w:rPr>
                <w:rFonts w:ascii="Times New Roman" w:eastAsia="標楷體" w:hAnsi="Times New Roman" w:hint="eastAsia"/>
                <w:szCs w:val="24"/>
              </w:rPr>
              <w:t>依據「政府採購法」規定辦理。</w:t>
            </w:r>
          </w:p>
        </w:tc>
      </w:tr>
      <w:tr w:rsidR="00D86012" w:rsidRPr="00F41CBA" w:rsidTr="00511FF2">
        <w:trPr>
          <w:trHeight w:val="794"/>
          <w:jc w:val="center"/>
        </w:trPr>
        <w:tc>
          <w:tcPr>
            <w:tcW w:w="710" w:type="dxa"/>
            <w:vMerge/>
            <w:vAlign w:val="center"/>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p>
        </w:tc>
        <w:tc>
          <w:tcPr>
            <w:tcW w:w="790" w:type="dxa"/>
            <w:vMerge/>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p>
        </w:tc>
        <w:tc>
          <w:tcPr>
            <w:tcW w:w="1725" w:type="dxa"/>
            <w:vAlign w:val="center"/>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工程費</w:t>
            </w:r>
          </w:p>
        </w:tc>
        <w:tc>
          <w:tcPr>
            <w:tcW w:w="1276"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p>
        </w:tc>
        <w:tc>
          <w:tcPr>
            <w:tcW w:w="1363"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p>
        </w:tc>
        <w:tc>
          <w:tcPr>
            <w:tcW w:w="4307" w:type="dxa"/>
            <w:vAlign w:val="center"/>
          </w:tcPr>
          <w:p w:rsidR="00D86012" w:rsidRPr="00885862" w:rsidRDefault="00D86012" w:rsidP="00A823B6">
            <w:pPr>
              <w:adjustRightInd w:val="0"/>
              <w:spacing w:line="240" w:lineRule="atLeast"/>
              <w:jc w:val="both"/>
              <w:textAlignment w:val="baseline"/>
              <w:rPr>
                <w:rFonts w:ascii="Times New Roman" w:eastAsia="標楷體" w:hAnsi="Times New Roman"/>
                <w:szCs w:val="24"/>
              </w:rPr>
            </w:pPr>
            <w:r w:rsidRPr="00885862">
              <w:rPr>
                <w:rFonts w:ascii="Times New Roman" w:eastAsia="標楷體" w:hAnsi="Times New Roman" w:hint="eastAsia"/>
                <w:szCs w:val="24"/>
              </w:rPr>
              <w:t>新設職群所需之相關設施整建費用</w:t>
            </w:r>
            <w:r w:rsidRPr="00885862">
              <w:rPr>
                <w:rFonts w:ascii="新細明體" w:hAnsi="新細明體" w:hint="eastAsia"/>
                <w:szCs w:val="24"/>
              </w:rPr>
              <w:t>，</w:t>
            </w:r>
            <w:r w:rsidRPr="00885862">
              <w:rPr>
                <w:rFonts w:ascii="Times New Roman" w:eastAsia="標楷體" w:hAnsi="Times New Roman" w:hint="eastAsia"/>
                <w:szCs w:val="24"/>
              </w:rPr>
              <w:t>依據「政府採購法」規定辦理。</w:t>
            </w:r>
          </w:p>
        </w:tc>
      </w:tr>
      <w:tr w:rsidR="00D86012" w:rsidRPr="00F41CBA" w:rsidTr="00511FF2">
        <w:trPr>
          <w:trHeight w:val="794"/>
          <w:jc w:val="center"/>
        </w:trPr>
        <w:tc>
          <w:tcPr>
            <w:tcW w:w="710" w:type="dxa"/>
            <w:vMerge w:val="restart"/>
            <w:textDirection w:val="tbRlV"/>
            <w:vAlign w:val="center"/>
          </w:tcPr>
          <w:p w:rsidR="00D86012" w:rsidRPr="00885862" w:rsidRDefault="00D86012" w:rsidP="002D43F3">
            <w:pPr>
              <w:adjustRightInd w:val="0"/>
              <w:spacing w:line="240" w:lineRule="atLeast"/>
              <w:ind w:left="113" w:right="113"/>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經常門</w:t>
            </w:r>
          </w:p>
        </w:tc>
        <w:tc>
          <w:tcPr>
            <w:tcW w:w="790" w:type="dxa"/>
            <w:vMerge w:val="restart"/>
            <w:textDirection w:val="tbRlV"/>
            <w:vAlign w:val="center"/>
          </w:tcPr>
          <w:p w:rsidR="00D86012" w:rsidRPr="00885862" w:rsidRDefault="00D86012" w:rsidP="002D43F3">
            <w:pPr>
              <w:adjustRightInd w:val="0"/>
              <w:spacing w:line="240" w:lineRule="atLeast"/>
              <w:ind w:left="113" w:right="113"/>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人事費</w:t>
            </w:r>
          </w:p>
        </w:tc>
        <w:tc>
          <w:tcPr>
            <w:tcW w:w="1725" w:type="dxa"/>
            <w:vAlign w:val="center"/>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教學實習組長職務加給費</w:t>
            </w:r>
          </w:p>
        </w:tc>
        <w:tc>
          <w:tcPr>
            <w:tcW w:w="1276"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月</w:t>
            </w:r>
          </w:p>
        </w:tc>
        <w:tc>
          <w:tcPr>
            <w:tcW w:w="1363"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p>
        </w:tc>
        <w:tc>
          <w:tcPr>
            <w:tcW w:w="4307" w:type="dxa"/>
            <w:vAlign w:val="center"/>
          </w:tcPr>
          <w:p w:rsidR="00D86012" w:rsidRPr="00885862" w:rsidRDefault="00D86012" w:rsidP="00A823B6">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szCs w:val="24"/>
              </w:rPr>
              <w:t>準用「公立中小學校校長、幼兒園園長及教師兼任主管人員主管職務加給表」規定支給。</w:t>
            </w:r>
          </w:p>
        </w:tc>
      </w:tr>
      <w:tr w:rsidR="00D86012" w:rsidRPr="00F41CBA" w:rsidTr="00511FF2">
        <w:trPr>
          <w:trHeight w:val="794"/>
          <w:jc w:val="center"/>
        </w:trPr>
        <w:tc>
          <w:tcPr>
            <w:tcW w:w="710" w:type="dxa"/>
            <w:vMerge/>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p>
        </w:tc>
        <w:tc>
          <w:tcPr>
            <w:tcW w:w="790" w:type="dxa"/>
            <w:vMerge/>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p>
        </w:tc>
        <w:tc>
          <w:tcPr>
            <w:tcW w:w="1725" w:type="dxa"/>
            <w:vAlign w:val="center"/>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專職人員薪資</w:t>
            </w:r>
          </w:p>
        </w:tc>
        <w:tc>
          <w:tcPr>
            <w:tcW w:w="1276"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月</w:t>
            </w:r>
          </w:p>
        </w:tc>
        <w:tc>
          <w:tcPr>
            <w:tcW w:w="1363"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p>
        </w:tc>
        <w:tc>
          <w:tcPr>
            <w:tcW w:w="4307" w:type="dxa"/>
            <w:vAlign w:val="center"/>
          </w:tcPr>
          <w:p w:rsidR="00D86012" w:rsidRPr="00885862" w:rsidRDefault="00D86012" w:rsidP="00A823B6">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szCs w:val="24"/>
              </w:rPr>
              <w:t>依據「</w:t>
            </w:r>
            <w:r w:rsidRPr="00F41CBA">
              <w:rPr>
                <w:rFonts w:eastAsia="標楷體" w:hint="eastAsia"/>
                <w:szCs w:val="24"/>
              </w:rPr>
              <w:t>國科會補助專題研究計畫專任助理人員工作酬金參考表」編列</w:t>
            </w:r>
            <w:r w:rsidRPr="00F41CBA">
              <w:rPr>
                <w:rFonts w:ascii="新細明體" w:hAnsi="新細明體" w:hint="eastAsia"/>
                <w:szCs w:val="24"/>
              </w:rPr>
              <w:t>。</w:t>
            </w:r>
          </w:p>
        </w:tc>
      </w:tr>
      <w:tr w:rsidR="00D86012" w:rsidRPr="00F41CBA" w:rsidTr="00511FF2">
        <w:trPr>
          <w:trHeight w:val="794"/>
          <w:jc w:val="center"/>
        </w:trPr>
        <w:tc>
          <w:tcPr>
            <w:tcW w:w="710" w:type="dxa"/>
            <w:vMerge/>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p>
        </w:tc>
        <w:tc>
          <w:tcPr>
            <w:tcW w:w="790" w:type="dxa"/>
            <w:vMerge/>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p>
        </w:tc>
        <w:tc>
          <w:tcPr>
            <w:tcW w:w="1725" w:type="dxa"/>
            <w:vAlign w:val="center"/>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全民健康保險補充保費</w:t>
            </w:r>
          </w:p>
        </w:tc>
        <w:tc>
          <w:tcPr>
            <w:tcW w:w="1276"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p>
        </w:tc>
        <w:tc>
          <w:tcPr>
            <w:tcW w:w="1363"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p>
        </w:tc>
        <w:tc>
          <w:tcPr>
            <w:tcW w:w="4307" w:type="dxa"/>
            <w:vAlign w:val="center"/>
          </w:tcPr>
          <w:p w:rsidR="00D86012" w:rsidRPr="00885862" w:rsidRDefault="00D86012" w:rsidP="00A823B6">
            <w:pPr>
              <w:adjustRightInd w:val="0"/>
              <w:spacing w:line="240" w:lineRule="atLeast"/>
              <w:jc w:val="both"/>
              <w:textAlignment w:val="baseline"/>
              <w:rPr>
                <w:rFonts w:ascii="Times New Roman" w:eastAsia="標楷體" w:hAnsi="Times New Roman"/>
                <w:szCs w:val="24"/>
              </w:rPr>
            </w:pPr>
            <w:r w:rsidRPr="00885862">
              <w:rPr>
                <w:rFonts w:ascii="Times New Roman" w:eastAsia="標楷體" w:hAnsi="Times New Roman" w:hint="eastAsia"/>
                <w:szCs w:val="24"/>
              </w:rPr>
              <w:t>依衍生補充保費之人事費經費項目，乘以補充保費費率為編列上限。</w:t>
            </w:r>
          </w:p>
        </w:tc>
      </w:tr>
      <w:tr w:rsidR="00D86012" w:rsidRPr="00F41CBA" w:rsidTr="00511FF2">
        <w:trPr>
          <w:trHeight w:val="794"/>
          <w:jc w:val="center"/>
        </w:trPr>
        <w:tc>
          <w:tcPr>
            <w:tcW w:w="710" w:type="dxa"/>
            <w:vMerge/>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p>
        </w:tc>
        <w:tc>
          <w:tcPr>
            <w:tcW w:w="790" w:type="dxa"/>
            <w:vMerge w:val="restart"/>
            <w:textDirection w:val="tbRlV"/>
            <w:vAlign w:val="center"/>
          </w:tcPr>
          <w:p w:rsidR="00D86012" w:rsidRPr="00885862" w:rsidRDefault="00D86012" w:rsidP="002D43F3">
            <w:pPr>
              <w:adjustRightInd w:val="0"/>
              <w:spacing w:line="240" w:lineRule="atLeast"/>
              <w:ind w:left="113" w:right="113"/>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業務費</w:t>
            </w:r>
          </w:p>
        </w:tc>
        <w:tc>
          <w:tcPr>
            <w:tcW w:w="1725" w:type="dxa"/>
            <w:vAlign w:val="center"/>
          </w:tcPr>
          <w:p w:rsidR="00D86012" w:rsidRPr="00885862" w:rsidRDefault="00D86012" w:rsidP="009D44C8">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鐘點費</w:t>
            </w:r>
          </w:p>
        </w:tc>
        <w:tc>
          <w:tcPr>
            <w:tcW w:w="1276"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節</w:t>
            </w:r>
          </w:p>
        </w:tc>
        <w:tc>
          <w:tcPr>
            <w:tcW w:w="1363"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kern w:val="0"/>
                <w:szCs w:val="24"/>
              </w:rPr>
              <w:t>450</w:t>
            </w:r>
          </w:p>
        </w:tc>
        <w:tc>
          <w:tcPr>
            <w:tcW w:w="4307" w:type="dxa"/>
            <w:vAlign w:val="center"/>
          </w:tcPr>
          <w:p w:rsidR="00D86012" w:rsidRPr="00885862" w:rsidRDefault="00D86012" w:rsidP="00A823B6">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高中職及外聘教師之授課鐘點費以每節</w:t>
            </w:r>
            <w:r w:rsidRPr="00885862">
              <w:rPr>
                <w:rFonts w:ascii="Times New Roman" w:eastAsia="標楷體" w:hAnsi="Times New Roman"/>
                <w:kern w:val="0"/>
                <w:szCs w:val="24"/>
              </w:rPr>
              <w:t>450</w:t>
            </w:r>
            <w:r w:rsidRPr="00885862">
              <w:rPr>
                <w:rFonts w:ascii="Times New Roman" w:eastAsia="標楷體" w:hAnsi="Times New Roman" w:hint="eastAsia"/>
                <w:kern w:val="0"/>
                <w:szCs w:val="24"/>
              </w:rPr>
              <w:t>元核算，以超過</w:t>
            </w:r>
            <w:r w:rsidRPr="00885862">
              <w:rPr>
                <w:rFonts w:ascii="Times New Roman" w:eastAsia="標楷體" w:hAnsi="Times New Roman"/>
                <w:kern w:val="0"/>
                <w:szCs w:val="24"/>
              </w:rPr>
              <w:t>40</w:t>
            </w:r>
            <w:r w:rsidRPr="00885862">
              <w:rPr>
                <w:rFonts w:ascii="Times New Roman" w:eastAsia="標楷體" w:hAnsi="Times New Roman" w:hint="eastAsia"/>
                <w:kern w:val="0"/>
                <w:szCs w:val="24"/>
              </w:rPr>
              <w:t>分鐘為</w:t>
            </w:r>
            <w:r w:rsidRPr="00885862">
              <w:rPr>
                <w:rFonts w:ascii="Times New Roman" w:eastAsia="標楷體" w:hAnsi="Times New Roman"/>
                <w:kern w:val="0"/>
                <w:szCs w:val="24"/>
              </w:rPr>
              <w:t>1</w:t>
            </w:r>
            <w:r w:rsidRPr="00885862">
              <w:rPr>
                <w:rFonts w:ascii="Times New Roman" w:eastAsia="標楷體" w:hAnsi="Times New Roman" w:hint="eastAsia"/>
                <w:kern w:val="0"/>
                <w:szCs w:val="24"/>
              </w:rPr>
              <w:t>節，超過</w:t>
            </w:r>
            <w:r w:rsidRPr="00885862">
              <w:rPr>
                <w:rFonts w:ascii="Times New Roman" w:eastAsia="標楷體" w:hAnsi="Times New Roman"/>
                <w:kern w:val="0"/>
                <w:szCs w:val="24"/>
              </w:rPr>
              <w:t>80</w:t>
            </w:r>
            <w:r w:rsidRPr="00885862">
              <w:rPr>
                <w:rFonts w:ascii="Times New Roman" w:eastAsia="標楷體" w:hAnsi="Times New Roman" w:hint="eastAsia"/>
                <w:kern w:val="0"/>
                <w:szCs w:val="24"/>
              </w:rPr>
              <w:t>分鐘為</w:t>
            </w:r>
            <w:r w:rsidRPr="00885862">
              <w:rPr>
                <w:rFonts w:ascii="Times New Roman" w:eastAsia="標楷體" w:hAnsi="Times New Roman"/>
                <w:kern w:val="0"/>
                <w:szCs w:val="24"/>
              </w:rPr>
              <w:t>2</w:t>
            </w:r>
            <w:r w:rsidRPr="00885862">
              <w:rPr>
                <w:rFonts w:ascii="Times New Roman" w:eastAsia="標楷體" w:hAnsi="Times New Roman" w:hint="eastAsia"/>
                <w:kern w:val="0"/>
                <w:szCs w:val="24"/>
              </w:rPr>
              <w:t>節計算，依實際授課節數核實支付。</w:t>
            </w:r>
          </w:p>
        </w:tc>
      </w:tr>
      <w:tr w:rsidR="00D86012" w:rsidRPr="00F41CBA" w:rsidTr="00511FF2">
        <w:trPr>
          <w:trHeight w:val="794"/>
          <w:jc w:val="center"/>
        </w:trPr>
        <w:tc>
          <w:tcPr>
            <w:tcW w:w="710" w:type="dxa"/>
            <w:vMerge/>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790" w:type="dxa"/>
            <w:vMerge/>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1725" w:type="dxa"/>
            <w:vAlign w:val="center"/>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實作材料費</w:t>
            </w:r>
          </w:p>
        </w:tc>
        <w:tc>
          <w:tcPr>
            <w:tcW w:w="1276"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人</w:t>
            </w:r>
          </w:p>
        </w:tc>
        <w:tc>
          <w:tcPr>
            <w:tcW w:w="1363" w:type="dxa"/>
            <w:vAlign w:val="center"/>
          </w:tcPr>
          <w:p w:rsidR="00D86012" w:rsidRPr="00885862" w:rsidRDefault="00D86012" w:rsidP="007B1F30">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kern w:val="0"/>
                <w:szCs w:val="24"/>
              </w:rPr>
              <w:t>100-400</w:t>
            </w:r>
          </w:p>
        </w:tc>
        <w:tc>
          <w:tcPr>
            <w:tcW w:w="4307" w:type="dxa"/>
            <w:vAlign w:val="center"/>
          </w:tcPr>
          <w:p w:rsidR="00D86012" w:rsidRPr="00885862" w:rsidRDefault="00D86012" w:rsidP="00A823B6">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用於支付學生實作體驗或活動所需，以每人</w:t>
            </w:r>
            <w:r w:rsidRPr="00885862">
              <w:rPr>
                <w:rFonts w:ascii="Times New Roman" w:eastAsia="標楷體" w:hAnsi="Times New Roman"/>
                <w:kern w:val="0"/>
                <w:szCs w:val="24"/>
              </w:rPr>
              <w:t>100</w:t>
            </w:r>
            <w:r w:rsidRPr="00885862">
              <w:rPr>
                <w:rFonts w:ascii="Times New Roman" w:eastAsia="標楷體" w:hAnsi="Times New Roman" w:hint="eastAsia"/>
                <w:kern w:val="0"/>
                <w:szCs w:val="24"/>
              </w:rPr>
              <w:t>元至</w:t>
            </w:r>
            <w:r w:rsidRPr="00885862">
              <w:rPr>
                <w:rFonts w:ascii="Times New Roman" w:eastAsia="標楷體" w:hAnsi="Times New Roman"/>
                <w:kern w:val="0"/>
                <w:szCs w:val="24"/>
              </w:rPr>
              <w:t>400</w:t>
            </w:r>
            <w:r w:rsidRPr="00885862">
              <w:rPr>
                <w:rFonts w:ascii="Times New Roman" w:eastAsia="標楷體" w:hAnsi="Times New Roman" w:hint="eastAsia"/>
                <w:kern w:val="0"/>
                <w:szCs w:val="24"/>
              </w:rPr>
              <w:t>元為原則，核實支付。</w:t>
            </w:r>
          </w:p>
        </w:tc>
      </w:tr>
      <w:tr w:rsidR="00D86012" w:rsidRPr="00F41CBA" w:rsidTr="00511FF2">
        <w:trPr>
          <w:trHeight w:val="794"/>
          <w:jc w:val="center"/>
        </w:trPr>
        <w:tc>
          <w:tcPr>
            <w:tcW w:w="710" w:type="dxa"/>
            <w:vMerge/>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790" w:type="dxa"/>
            <w:vMerge/>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1725" w:type="dxa"/>
            <w:vAlign w:val="center"/>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教材編印費</w:t>
            </w:r>
          </w:p>
        </w:tc>
        <w:tc>
          <w:tcPr>
            <w:tcW w:w="1276"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人</w:t>
            </w:r>
          </w:p>
        </w:tc>
        <w:tc>
          <w:tcPr>
            <w:tcW w:w="1363" w:type="dxa"/>
            <w:vAlign w:val="center"/>
          </w:tcPr>
          <w:p w:rsidR="00D86012" w:rsidRPr="00885862" w:rsidRDefault="00D86012" w:rsidP="007B1F30">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kern w:val="0"/>
                <w:szCs w:val="24"/>
              </w:rPr>
              <w:t>100</w:t>
            </w:r>
          </w:p>
        </w:tc>
        <w:tc>
          <w:tcPr>
            <w:tcW w:w="4307" w:type="dxa"/>
            <w:vAlign w:val="center"/>
          </w:tcPr>
          <w:p w:rsidR="00D86012" w:rsidRPr="00885862" w:rsidRDefault="00D86012" w:rsidP="00A823B6">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用於印製活動手冊或教材所需費用，核實支付。</w:t>
            </w:r>
          </w:p>
        </w:tc>
      </w:tr>
      <w:tr w:rsidR="00D86012" w:rsidRPr="00F41CBA" w:rsidTr="00511FF2">
        <w:trPr>
          <w:trHeight w:val="794"/>
          <w:jc w:val="center"/>
        </w:trPr>
        <w:tc>
          <w:tcPr>
            <w:tcW w:w="710" w:type="dxa"/>
            <w:vMerge/>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790" w:type="dxa"/>
            <w:vMerge/>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1725" w:type="dxa"/>
            <w:vAlign w:val="center"/>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車</w:t>
            </w:r>
            <w:r w:rsidRPr="00885862">
              <w:rPr>
                <w:rFonts w:ascii="Times New Roman" w:eastAsia="標楷體" w:hAnsi="Times New Roman"/>
                <w:kern w:val="0"/>
                <w:szCs w:val="24"/>
              </w:rPr>
              <w:t>(</w:t>
            </w:r>
            <w:r w:rsidRPr="00885862">
              <w:rPr>
                <w:rFonts w:ascii="Times New Roman" w:eastAsia="標楷體" w:hAnsi="Times New Roman" w:hint="eastAsia"/>
                <w:kern w:val="0"/>
                <w:szCs w:val="24"/>
              </w:rPr>
              <w:t>船</w:t>
            </w:r>
            <w:r w:rsidRPr="00885862">
              <w:rPr>
                <w:rFonts w:ascii="Times New Roman" w:eastAsia="標楷體" w:hAnsi="Times New Roman"/>
                <w:kern w:val="0"/>
                <w:szCs w:val="24"/>
              </w:rPr>
              <w:t>)</w:t>
            </w:r>
            <w:r w:rsidRPr="00885862">
              <w:rPr>
                <w:rFonts w:ascii="Times New Roman" w:eastAsia="標楷體" w:hAnsi="Times New Roman" w:hint="eastAsia"/>
                <w:kern w:val="0"/>
                <w:szCs w:val="24"/>
              </w:rPr>
              <w:t>資</w:t>
            </w:r>
          </w:p>
        </w:tc>
        <w:tc>
          <w:tcPr>
            <w:tcW w:w="1276"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輛</w:t>
            </w:r>
          </w:p>
        </w:tc>
        <w:tc>
          <w:tcPr>
            <w:tcW w:w="1363" w:type="dxa"/>
            <w:vAlign w:val="center"/>
          </w:tcPr>
          <w:p w:rsidR="00D86012" w:rsidRPr="00885862" w:rsidRDefault="00D86012" w:rsidP="007B1F30">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kern w:val="0"/>
                <w:szCs w:val="24"/>
              </w:rPr>
              <w:t>3,000-10,000</w:t>
            </w:r>
          </w:p>
        </w:tc>
        <w:tc>
          <w:tcPr>
            <w:tcW w:w="4307" w:type="dxa"/>
            <w:vAlign w:val="center"/>
          </w:tcPr>
          <w:p w:rsidR="00D86012" w:rsidRPr="00885862" w:rsidRDefault="00D86012" w:rsidP="0086587A">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用於支付學生及帶隊老師往返示範中心參與課程及活動之交通費用，以每輛</w:t>
            </w:r>
            <w:r w:rsidRPr="00885862">
              <w:rPr>
                <w:rFonts w:ascii="Times New Roman" w:eastAsia="標楷體" w:hAnsi="Times New Roman"/>
                <w:kern w:val="0"/>
                <w:szCs w:val="24"/>
              </w:rPr>
              <w:t>3,000</w:t>
            </w:r>
            <w:r w:rsidRPr="00885862">
              <w:rPr>
                <w:rFonts w:ascii="Times New Roman" w:eastAsia="標楷體" w:hAnsi="Times New Roman" w:hint="eastAsia"/>
                <w:kern w:val="0"/>
                <w:szCs w:val="24"/>
              </w:rPr>
              <w:t>元至</w:t>
            </w:r>
            <w:r w:rsidRPr="00885862">
              <w:rPr>
                <w:rFonts w:ascii="Times New Roman" w:eastAsia="標楷體" w:hAnsi="Times New Roman"/>
                <w:kern w:val="0"/>
                <w:szCs w:val="24"/>
              </w:rPr>
              <w:t>10,000</w:t>
            </w:r>
            <w:r w:rsidRPr="00885862">
              <w:rPr>
                <w:rFonts w:ascii="Times New Roman" w:eastAsia="標楷體" w:hAnsi="Times New Roman" w:hint="eastAsia"/>
                <w:kern w:val="0"/>
                <w:szCs w:val="24"/>
              </w:rPr>
              <w:t>元為原則，依實際需求提出說明，核實支付。</w:t>
            </w:r>
          </w:p>
        </w:tc>
      </w:tr>
      <w:tr w:rsidR="00D86012" w:rsidRPr="00F41CBA" w:rsidTr="00511FF2">
        <w:trPr>
          <w:trHeight w:val="794"/>
          <w:jc w:val="center"/>
        </w:trPr>
        <w:tc>
          <w:tcPr>
            <w:tcW w:w="710" w:type="dxa"/>
            <w:vMerge/>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790" w:type="dxa"/>
            <w:vMerge/>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1725" w:type="dxa"/>
            <w:vAlign w:val="center"/>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膳費</w:t>
            </w:r>
          </w:p>
        </w:tc>
        <w:tc>
          <w:tcPr>
            <w:tcW w:w="1276"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人</w:t>
            </w:r>
          </w:p>
        </w:tc>
        <w:tc>
          <w:tcPr>
            <w:tcW w:w="1363"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kern w:val="0"/>
                <w:szCs w:val="24"/>
              </w:rPr>
              <w:t>80</w:t>
            </w:r>
          </w:p>
        </w:tc>
        <w:tc>
          <w:tcPr>
            <w:tcW w:w="4307" w:type="dxa"/>
            <w:vAlign w:val="center"/>
          </w:tcPr>
          <w:p w:rsidR="00D86012" w:rsidRPr="00885862" w:rsidRDefault="00D86012" w:rsidP="00A823B6">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全日課程始得編列，核實支付。</w:t>
            </w:r>
          </w:p>
        </w:tc>
      </w:tr>
      <w:tr w:rsidR="00D86012" w:rsidRPr="00F41CBA" w:rsidTr="00511FF2">
        <w:trPr>
          <w:trHeight w:val="794"/>
          <w:jc w:val="center"/>
        </w:trPr>
        <w:tc>
          <w:tcPr>
            <w:tcW w:w="710" w:type="dxa"/>
            <w:vMerge/>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790" w:type="dxa"/>
            <w:vMerge/>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1725" w:type="dxa"/>
            <w:vAlign w:val="center"/>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學生保險費</w:t>
            </w:r>
          </w:p>
        </w:tc>
        <w:tc>
          <w:tcPr>
            <w:tcW w:w="1276"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人</w:t>
            </w:r>
          </w:p>
        </w:tc>
        <w:tc>
          <w:tcPr>
            <w:tcW w:w="1363" w:type="dxa"/>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p>
        </w:tc>
        <w:tc>
          <w:tcPr>
            <w:tcW w:w="4307" w:type="dxa"/>
            <w:vAlign w:val="center"/>
          </w:tcPr>
          <w:p w:rsidR="00D86012" w:rsidRPr="00885862" w:rsidRDefault="00D86012" w:rsidP="0086587A">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依實際需求提出說明，核實支付。</w:t>
            </w:r>
          </w:p>
        </w:tc>
      </w:tr>
      <w:tr w:rsidR="00D86012" w:rsidRPr="00F41CBA" w:rsidTr="00511FF2">
        <w:trPr>
          <w:trHeight w:val="794"/>
          <w:jc w:val="center"/>
        </w:trPr>
        <w:tc>
          <w:tcPr>
            <w:tcW w:w="710" w:type="dxa"/>
            <w:vMerge/>
            <w:tcBorders>
              <w:bottom w:val="single" w:sz="12" w:space="0" w:color="auto"/>
            </w:tcBorders>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790" w:type="dxa"/>
            <w:vMerge/>
            <w:tcBorders>
              <w:bottom w:val="single" w:sz="12" w:space="0" w:color="auto"/>
            </w:tcBorders>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p>
        </w:tc>
        <w:tc>
          <w:tcPr>
            <w:tcW w:w="1725" w:type="dxa"/>
            <w:tcBorders>
              <w:bottom w:val="single" w:sz="12" w:space="0" w:color="auto"/>
            </w:tcBorders>
            <w:vAlign w:val="center"/>
          </w:tcPr>
          <w:p w:rsidR="00D86012" w:rsidRPr="00885862" w:rsidRDefault="00D86012" w:rsidP="009D44C8">
            <w:pPr>
              <w:adjustRightInd w:val="0"/>
              <w:spacing w:line="240" w:lineRule="atLeast"/>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雜費</w:t>
            </w:r>
          </w:p>
        </w:tc>
        <w:tc>
          <w:tcPr>
            <w:tcW w:w="1276" w:type="dxa"/>
            <w:tcBorders>
              <w:bottom w:val="single" w:sz="12" w:space="0" w:color="auto"/>
            </w:tcBorders>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p>
        </w:tc>
        <w:tc>
          <w:tcPr>
            <w:tcW w:w="1363" w:type="dxa"/>
            <w:tcBorders>
              <w:bottom w:val="single" w:sz="12" w:space="0" w:color="auto"/>
            </w:tcBorders>
            <w:vAlign w:val="center"/>
          </w:tcPr>
          <w:p w:rsidR="00D86012" w:rsidRPr="00885862" w:rsidRDefault="00D86012" w:rsidP="009D44C8">
            <w:pPr>
              <w:adjustRightInd w:val="0"/>
              <w:spacing w:line="240" w:lineRule="atLeast"/>
              <w:jc w:val="center"/>
              <w:textAlignment w:val="baseline"/>
              <w:rPr>
                <w:rFonts w:ascii="Times New Roman" w:eastAsia="標楷體" w:hAnsi="Times New Roman"/>
                <w:kern w:val="0"/>
                <w:szCs w:val="24"/>
              </w:rPr>
            </w:pPr>
          </w:p>
        </w:tc>
        <w:tc>
          <w:tcPr>
            <w:tcW w:w="4307" w:type="dxa"/>
            <w:tcBorders>
              <w:bottom w:val="single" w:sz="12" w:space="0" w:color="auto"/>
            </w:tcBorders>
            <w:vAlign w:val="center"/>
          </w:tcPr>
          <w:p w:rsidR="00D86012" w:rsidRPr="00885862" w:rsidRDefault="00D86012" w:rsidP="00A823B6">
            <w:pPr>
              <w:adjustRightInd w:val="0"/>
              <w:spacing w:line="240" w:lineRule="atLeast"/>
              <w:jc w:val="both"/>
              <w:textAlignment w:val="baseline"/>
              <w:rPr>
                <w:rFonts w:ascii="Times New Roman" w:eastAsia="標楷體" w:hAnsi="Times New Roman"/>
                <w:kern w:val="0"/>
                <w:szCs w:val="24"/>
              </w:rPr>
            </w:pPr>
            <w:r w:rsidRPr="00885862">
              <w:rPr>
                <w:rFonts w:ascii="Times New Roman" w:eastAsia="標楷體" w:hAnsi="Times New Roman" w:hint="eastAsia"/>
                <w:kern w:val="0"/>
                <w:szCs w:val="24"/>
              </w:rPr>
              <w:t>由學校主管機關自行核處支付項目及標準，惟不得超出業務費總額</w:t>
            </w:r>
            <w:r w:rsidRPr="00885862">
              <w:rPr>
                <w:rFonts w:ascii="Times New Roman" w:eastAsia="標楷體" w:hAnsi="Times New Roman"/>
                <w:kern w:val="0"/>
                <w:szCs w:val="24"/>
              </w:rPr>
              <w:t>5%</w:t>
            </w:r>
            <w:r w:rsidRPr="00885862">
              <w:rPr>
                <w:rFonts w:ascii="Times New Roman" w:eastAsia="標楷體" w:hAnsi="Times New Roman" w:hint="eastAsia"/>
                <w:kern w:val="0"/>
                <w:szCs w:val="24"/>
              </w:rPr>
              <w:t>。</w:t>
            </w:r>
          </w:p>
        </w:tc>
      </w:tr>
    </w:tbl>
    <w:p w:rsidR="00D86012" w:rsidRPr="00885862" w:rsidRDefault="00D86012" w:rsidP="002D43F3">
      <w:pPr>
        <w:widowControl/>
        <w:spacing w:line="360" w:lineRule="auto"/>
        <w:jc w:val="both"/>
        <w:textAlignment w:val="top"/>
        <w:rPr>
          <w:rFonts w:ascii="Times New Roman" w:eastAsia="標楷體" w:hAnsi="Times New Roman"/>
          <w:sz w:val="26"/>
          <w:szCs w:val="26"/>
        </w:rPr>
      </w:pPr>
    </w:p>
    <w:sectPr w:rsidR="00D86012" w:rsidRPr="00885862" w:rsidSect="00854627">
      <w:pgSz w:w="11906" w:h="16838"/>
      <w:pgMar w:top="1702" w:right="1800" w:bottom="1276"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012" w:rsidRDefault="00D86012" w:rsidP="00003669">
      <w:r>
        <w:separator/>
      </w:r>
    </w:p>
  </w:endnote>
  <w:endnote w:type="continuationSeparator" w:id="0">
    <w:p w:rsidR="00D86012" w:rsidRDefault="00D86012" w:rsidP="00003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012" w:rsidRDefault="00D86012" w:rsidP="00003669">
      <w:r>
        <w:separator/>
      </w:r>
    </w:p>
  </w:footnote>
  <w:footnote w:type="continuationSeparator" w:id="0">
    <w:p w:rsidR="00D86012" w:rsidRDefault="00D86012" w:rsidP="00003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868"/>
    <w:multiLevelType w:val="hybridMultilevel"/>
    <w:tmpl w:val="253613D6"/>
    <w:lvl w:ilvl="0" w:tplc="78860D64">
      <w:start w:val="1"/>
      <w:numFmt w:val="decimal"/>
      <w:suff w:val="nothing"/>
      <w:lvlText w:val="(%1)"/>
      <w:lvlJc w:val="left"/>
      <w:pPr>
        <w:ind w:left="964" w:hanging="537"/>
      </w:pPr>
      <w:rPr>
        <w:rFonts w:cs="Times New Roman" w:hint="eastAsia"/>
      </w:rPr>
    </w:lvl>
    <w:lvl w:ilvl="1" w:tplc="04090019" w:tentative="1">
      <w:start w:val="1"/>
      <w:numFmt w:val="ideographTraditional"/>
      <w:lvlText w:val="%2、"/>
      <w:lvlJc w:val="left"/>
      <w:pPr>
        <w:ind w:left="1666" w:hanging="480"/>
      </w:pPr>
      <w:rPr>
        <w:rFonts w:cs="Times New Roman"/>
      </w:rPr>
    </w:lvl>
    <w:lvl w:ilvl="2" w:tplc="0409001B" w:tentative="1">
      <w:start w:val="1"/>
      <w:numFmt w:val="lowerRoman"/>
      <w:lvlText w:val="%3."/>
      <w:lvlJc w:val="right"/>
      <w:pPr>
        <w:ind w:left="2146" w:hanging="480"/>
      </w:pPr>
      <w:rPr>
        <w:rFonts w:cs="Times New Roman"/>
      </w:rPr>
    </w:lvl>
    <w:lvl w:ilvl="3" w:tplc="0409000F" w:tentative="1">
      <w:start w:val="1"/>
      <w:numFmt w:val="decimal"/>
      <w:lvlText w:val="%4."/>
      <w:lvlJc w:val="left"/>
      <w:pPr>
        <w:ind w:left="2626" w:hanging="480"/>
      </w:pPr>
      <w:rPr>
        <w:rFonts w:cs="Times New Roman"/>
      </w:rPr>
    </w:lvl>
    <w:lvl w:ilvl="4" w:tplc="04090019" w:tentative="1">
      <w:start w:val="1"/>
      <w:numFmt w:val="ideographTraditional"/>
      <w:lvlText w:val="%5、"/>
      <w:lvlJc w:val="left"/>
      <w:pPr>
        <w:ind w:left="3106" w:hanging="480"/>
      </w:pPr>
      <w:rPr>
        <w:rFonts w:cs="Times New Roman"/>
      </w:rPr>
    </w:lvl>
    <w:lvl w:ilvl="5" w:tplc="0409001B" w:tentative="1">
      <w:start w:val="1"/>
      <w:numFmt w:val="lowerRoman"/>
      <w:lvlText w:val="%6."/>
      <w:lvlJc w:val="right"/>
      <w:pPr>
        <w:ind w:left="3586" w:hanging="480"/>
      </w:pPr>
      <w:rPr>
        <w:rFonts w:cs="Times New Roman"/>
      </w:rPr>
    </w:lvl>
    <w:lvl w:ilvl="6" w:tplc="0409000F" w:tentative="1">
      <w:start w:val="1"/>
      <w:numFmt w:val="decimal"/>
      <w:lvlText w:val="%7."/>
      <w:lvlJc w:val="left"/>
      <w:pPr>
        <w:ind w:left="4066" w:hanging="480"/>
      </w:pPr>
      <w:rPr>
        <w:rFonts w:cs="Times New Roman"/>
      </w:rPr>
    </w:lvl>
    <w:lvl w:ilvl="7" w:tplc="04090019" w:tentative="1">
      <w:start w:val="1"/>
      <w:numFmt w:val="ideographTraditional"/>
      <w:lvlText w:val="%8、"/>
      <w:lvlJc w:val="left"/>
      <w:pPr>
        <w:ind w:left="4546" w:hanging="480"/>
      </w:pPr>
      <w:rPr>
        <w:rFonts w:cs="Times New Roman"/>
      </w:rPr>
    </w:lvl>
    <w:lvl w:ilvl="8" w:tplc="0409001B" w:tentative="1">
      <w:start w:val="1"/>
      <w:numFmt w:val="lowerRoman"/>
      <w:lvlText w:val="%9."/>
      <w:lvlJc w:val="right"/>
      <w:pPr>
        <w:ind w:left="5026" w:hanging="480"/>
      </w:pPr>
      <w:rPr>
        <w:rFonts w:cs="Times New Roman"/>
      </w:rPr>
    </w:lvl>
  </w:abstractNum>
  <w:abstractNum w:abstractNumId="1">
    <w:nsid w:val="16E866A5"/>
    <w:multiLevelType w:val="hybridMultilevel"/>
    <w:tmpl w:val="39CE1558"/>
    <w:lvl w:ilvl="0" w:tplc="C1100F66">
      <w:start w:val="1"/>
      <w:numFmt w:val="decimal"/>
      <w:lvlText w:val="%1."/>
      <w:lvlJc w:val="left"/>
      <w:pPr>
        <w:ind w:left="787" w:hanging="360"/>
      </w:pPr>
      <w:rPr>
        <w:rFonts w:cs="Times New Roman" w:hint="default"/>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nsid w:val="20E35D20"/>
    <w:multiLevelType w:val="hybridMultilevel"/>
    <w:tmpl w:val="5D0288A4"/>
    <w:lvl w:ilvl="0" w:tplc="5C6ACE00">
      <w:start w:val="1"/>
      <w:numFmt w:val="decimal"/>
      <w:lvlText w:val="%1."/>
      <w:lvlJc w:val="left"/>
      <w:pPr>
        <w:ind w:left="885" w:hanging="360"/>
      </w:pPr>
      <w:rPr>
        <w:rFonts w:cs="Times New Roman" w:hint="default"/>
      </w:rPr>
    </w:lvl>
    <w:lvl w:ilvl="1" w:tplc="04090019" w:tentative="1">
      <w:start w:val="1"/>
      <w:numFmt w:val="ideographTraditional"/>
      <w:lvlText w:val="%2、"/>
      <w:lvlJc w:val="left"/>
      <w:pPr>
        <w:ind w:left="1485" w:hanging="480"/>
      </w:pPr>
      <w:rPr>
        <w:rFonts w:cs="Times New Roman"/>
      </w:rPr>
    </w:lvl>
    <w:lvl w:ilvl="2" w:tplc="0409001B" w:tentative="1">
      <w:start w:val="1"/>
      <w:numFmt w:val="lowerRoman"/>
      <w:lvlText w:val="%3."/>
      <w:lvlJc w:val="right"/>
      <w:pPr>
        <w:ind w:left="1965" w:hanging="480"/>
      </w:pPr>
      <w:rPr>
        <w:rFonts w:cs="Times New Roman"/>
      </w:rPr>
    </w:lvl>
    <w:lvl w:ilvl="3" w:tplc="0409000F" w:tentative="1">
      <w:start w:val="1"/>
      <w:numFmt w:val="decimal"/>
      <w:lvlText w:val="%4."/>
      <w:lvlJc w:val="left"/>
      <w:pPr>
        <w:ind w:left="2445" w:hanging="480"/>
      </w:pPr>
      <w:rPr>
        <w:rFonts w:cs="Times New Roman"/>
      </w:rPr>
    </w:lvl>
    <w:lvl w:ilvl="4" w:tplc="04090019" w:tentative="1">
      <w:start w:val="1"/>
      <w:numFmt w:val="ideographTraditional"/>
      <w:lvlText w:val="%5、"/>
      <w:lvlJc w:val="left"/>
      <w:pPr>
        <w:ind w:left="2925" w:hanging="480"/>
      </w:pPr>
      <w:rPr>
        <w:rFonts w:cs="Times New Roman"/>
      </w:rPr>
    </w:lvl>
    <w:lvl w:ilvl="5" w:tplc="0409001B" w:tentative="1">
      <w:start w:val="1"/>
      <w:numFmt w:val="lowerRoman"/>
      <w:lvlText w:val="%6."/>
      <w:lvlJc w:val="right"/>
      <w:pPr>
        <w:ind w:left="3405" w:hanging="480"/>
      </w:pPr>
      <w:rPr>
        <w:rFonts w:cs="Times New Roman"/>
      </w:rPr>
    </w:lvl>
    <w:lvl w:ilvl="6" w:tplc="0409000F" w:tentative="1">
      <w:start w:val="1"/>
      <w:numFmt w:val="decimal"/>
      <w:lvlText w:val="%7."/>
      <w:lvlJc w:val="left"/>
      <w:pPr>
        <w:ind w:left="3885" w:hanging="480"/>
      </w:pPr>
      <w:rPr>
        <w:rFonts w:cs="Times New Roman"/>
      </w:rPr>
    </w:lvl>
    <w:lvl w:ilvl="7" w:tplc="04090019" w:tentative="1">
      <w:start w:val="1"/>
      <w:numFmt w:val="ideographTraditional"/>
      <w:lvlText w:val="%8、"/>
      <w:lvlJc w:val="left"/>
      <w:pPr>
        <w:ind w:left="4365" w:hanging="480"/>
      </w:pPr>
      <w:rPr>
        <w:rFonts w:cs="Times New Roman"/>
      </w:rPr>
    </w:lvl>
    <w:lvl w:ilvl="8" w:tplc="0409001B" w:tentative="1">
      <w:start w:val="1"/>
      <w:numFmt w:val="lowerRoman"/>
      <w:lvlText w:val="%9."/>
      <w:lvlJc w:val="right"/>
      <w:pPr>
        <w:ind w:left="4845" w:hanging="480"/>
      </w:pPr>
      <w:rPr>
        <w:rFonts w:cs="Times New Roman"/>
      </w:rPr>
    </w:lvl>
  </w:abstractNum>
  <w:abstractNum w:abstractNumId="3">
    <w:nsid w:val="28521C1A"/>
    <w:multiLevelType w:val="hybridMultilevel"/>
    <w:tmpl w:val="24505AF8"/>
    <w:lvl w:ilvl="0" w:tplc="417CAA34">
      <w:start w:val="1"/>
      <w:numFmt w:val="taiwaneseCountingThousand"/>
      <w:suff w:val="nothing"/>
      <w:lvlText w:val="（%1）"/>
      <w:lvlJc w:val="left"/>
      <w:pPr>
        <w:ind w:left="851" w:hanging="709"/>
      </w:pPr>
      <w:rPr>
        <w:rFonts w:cs="Times New Roman" w:hint="default"/>
      </w:rPr>
    </w:lvl>
    <w:lvl w:ilvl="1" w:tplc="04090019" w:tentative="1">
      <w:start w:val="1"/>
      <w:numFmt w:val="ideographTraditional"/>
      <w:lvlText w:val="%2、"/>
      <w:lvlJc w:val="left"/>
      <w:pPr>
        <w:ind w:left="1246" w:hanging="480"/>
      </w:pPr>
      <w:rPr>
        <w:rFonts w:cs="Times New Roman"/>
      </w:rPr>
    </w:lvl>
    <w:lvl w:ilvl="2" w:tplc="0409001B" w:tentative="1">
      <w:start w:val="1"/>
      <w:numFmt w:val="lowerRoman"/>
      <w:lvlText w:val="%3."/>
      <w:lvlJc w:val="right"/>
      <w:pPr>
        <w:ind w:left="1726" w:hanging="480"/>
      </w:pPr>
      <w:rPr>
        <w:rFonts w:cs="Times New Roman"/>
      </w:rPr>
    </w:lvl>
    <w:lvl w:ilvl="3" w:tplc="0409000F" w:tentative="1">
      <w:start w:val="1"/>
      <w:numFmt w:val="decimal"/>
      <w:lvlText w:val="%4."/>
      <w:lvlJc w:val="left"/>
      <w:pPr>
        <w:ind w:left="2206" w:hanging="480"/>
      </w:pPr>
      <w:rPr>
        <w:rFonts w:cs="Times New Roman"/>
      </w:rPr>
    </w:lvl>
    <w:lvl w:ilvl="4" w:tplc="04090019" w:tentative="1">
      <w:start w:val="1"/>
      <w:numFmt w:val="ideographTraditional"/>
      <w:lvlText w:val="%5、"/>
      <w:lvlJc w:val="left"/>
      <w:pPr>
        <w:ind w:left="2686" w:hanging="480"/>
      </w:pPr>
      <w:rPr>
        <w:rFonts w:cs="Times New Roman"/>
      </w:rPr>
    </w:lvl>
    <w:lvl w:ilvl="5" w:tplc="0409001B" w:tentative="1">
      <w:start w:val="1"/>
      <w:numFmt w:val="lowerRoman"/>
      <w:lvlText w:val="%6."/>
      <w:lvlJc w:val="right"/>
      <w:pPr>
        <w:ind w:left="3166" w:hanging="480"/>
      </w:pPr>
      <w:rPr>
        <w:rFonts w:cs="Times New Roman"/>
      </w:rPr>
    </w:lvl>
    <w:lvl w:ilvl="6" w:tplc="0409000F" w:tentative="1">
      <w:start w:val="1"/>
      <w:numFmt w:val="decimal"/>
      <w:lvlText w:val="%7."/>
      <w:lvlJc w:val="left"/>
      <w:pPr>
        <w:ind w:left="3646" w:hanging="480"/>
      </w:pPr>
      <w:rPr>
        <w:rFonts w:cs="Times New Roman"/>
      </w:rPr>
    </w:lvl>
    <w:lvl w:ilvl="7" w:tplc="04090019" w:tentative="1">
      <w:start w:val="1"/>
      <w:numFmt w:val="ideographTraditional"/>
      <w:lvlText w:val="%8、"/>
      <w:lvlJc w:val="left"/>
      <w:pPr>
        <w:ind w:left="4126" w:hanging="480"/>
      </w:pPr>
      <w:rPr>
        <w:rFonts w:cs="Times New Roman"/>
      </w:rPr>
    </w:lvl>
    <w:lvl w:ilvl="8" w:tplc="0409001B" w:tentative="1">
      <w:start w:val="1"/>
      <w:numFmt w:val="lowerRoman"/>
      <w:lvlText w:val="%9."/>
      <w:lvlJc w:val="right"/>
      <w:pPr>
        <w:ind w:left="4606" w:hanging="480"/>
      </w:pPr>
      <w:rPr>
        <w:rFonts w:cs="Times New Roman"/>
      </w:rPr>
    </w:lvl>
  </w:abstractNum>
  <w:abstractNum w:abstractNumId="4">
    <w:nsid w:val="2B686DE8"/>
    <w:multiLevelType w:val="hybridMultilevel"/>
    <w:tmpl w:val="65C25C9A"/>
    <w:lvl w:ilvl="0" w:tplc="74D4669E">
      <w:start w:val="1"/>
      <w:numFmt w:val="taiwaneseCountingThousand"/>
      <w:lvlText w:val="%1、"/>
      <w:lvlJc w:val="left"/>
      <w:pPr>
        <w:ind w:left="622" w:hanging="480"/>
      </w:pPr>
      <w:rPr>
        <w:rFonts w:cs="Times New Roman" w:hint="eastAsia"/>
        <w:color w:val="auto"/>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5">
    <w:nsid w:val="3A0E78AC"/>
    <w:multiLevelType w:val="hybridMultilevel"/>
    <w:tmpl w:val="B1EAF8FA"/>
    <w:lvl w:ilvl="0" w:tplc="F9E6ABC8">
      <w:start w:val="1"/>
      <w:numFmt w:val="taiwaneseCountingThousand"/>
      <w:suff w:val="nothing"/>
      <w:lvlText w:val="（%1）"/>
      <w:lvlJc w:val="left"/>
      <w:pPr>
        <w:ind w:left="622" w:hanging="480"/>
      </w:pPr>
      <w:rPr>
        <w:rFonts w:cs="Times New Roman" w:hint="default"/>
      </w:rPr>
    </w:lvl>
    <w:lvl w:ilvl="1" w:tplc="04090019" w:tentative="1">
      <w:start w:val="1"/>
      <w:numFmt w:val="ideographTraditional"/>
      <w:lvlText w:val="%2、"/>
      <w:lvlJc w:val="left"/>
      <w:pPr>
        <w:ind w:left="1246" w:hanging="480"/>
      </w:pPr>
      <w:rPr>
        <w:rFonts w:cs="Times New Roman"/>
      </w:rPr>
    </w:lvl>
    <w:lvl w:ilvl="2" w:tplc="0409001B" w:tentative="1">
      <w:start w:val="1"/>
      <w:numFmt w:val="lowerRoman"/>
      <w:lvlText w:val="%3."/>
      <w:lvlJc w:val="right"/>
      <w:pPr>
        <w:ind w:left="1726" w:hanging="480"/>
      </w:pPr>
      <w:rPr>
        <w:rFonts w:cs="Times New Roman"/>
      </w:rPr>
    </w:lvl>
    <w:lvl w:ilvl="3" w:tplc="0409000F" w:tentative="1">
      <w:start w:val="1"/>
      <w:numFmt w:val="decimal"/>
      <w:lvlText w:val="%4."/>
      <w:lvlJc w:val="left"/>
      <w:pPr>
        <w:ind w:left="2206" w:hanging="480"/>
      </w:pPr>
      <w:rPr>
        <w:rFonts w:cs="Times New Roman"/>
      </w:rPr>
    </w:lvl>
    <w:lvl w:ilvl="4" w:tplc="04090019" w:tentative="1">
      <w:start w:val="1"/>
      <w:numFmt w:val="ideographTraditional"/>
      <w:lvlText w:val="%5、"/>
      <w:lvlJc w:val="left"/>
      <w:pPr>
        <w:ind w:left="2686" w:hanging="480"/>
      </w:pPr>
      <w:rPr>
        <w:rFonts w:cs="Times New Roman"/>
      </w:rPr>
    </w:lvl>
    <w:lvl w:ilvl="5" w:tplc="0409001B" w:tentative="1">
      <w:start w:val="1"/>
      <w:numFmt w:val="lowerRoman"/>
      <w:lvlText w:val="%6."/>
      <w:lvlJc w:val="right"/>
      <w:pPr>
        <w:ind w:left="3166" w:hanging="480"/>
      </w:pPr>
      <w:rPr>
        <w:rFonts w:cs="Times New Roman"/>
      </w:rPr>
    </w:lvl>
    <w:lvl w:ilvl="6" w:tplc="0409000F" w:tentative="1">
      <w:start w:val="1"/>
      <w:numFmt w:val="decimal"/>
      <w:lvlText w:val="%7."/>
      <w:lvlJc w:val="left"/>
      <w:pPr>
        <w:ind w:left="3646" w:hanging="480"/>
      </w:pPr>
      <w:rPr>
        <w:rFonts w:cs="Times New Roman"/>
      </w:rPr>
    </w:lvl>
    <w:lvl w:ilvl="7" w:tplc="04090019" w:tentative="1">
      <w:start w:val="1"/>
      <w:numFmt w:val="ideographTraditional"/>
      <w:lvlText w:val="%8、"/>
      <w:lvlJc w:val="left"/>
      <w:pPr>
        <w:ind w:left="4126" w:hanging="480"/>
      </w:pPr>
      <w:rPr>
        <w:rFonts w:cs="Times New Roman"/>
      </w:rPr>
    </w:lvl>
    <w:lvl w:ilvl="8" w:tplc="0409001B" w:tentative="1">
      <w:start w:val="1"/>
      <w:numFmt w:val="lowerRoman"/>
      <w:lvlText w:val="%9."/>
      <w:lvlJc w:val="right"/>
      <w:pPr>
        <w:ind w:left="4606" w:hanging="480"/>
      </w:pPr>
      <w:rPr>
        <w:rFonts w:cs="Times New Roman"/>
      </w:rPr>
    </w:lvl>
  </w:abstractNum>
  <w:abstractNum w:abstractNumId="6">
    <w:nsid w:val="510560BB"/>
    <w:multiLevelType w:val="hybridMultilevel"/>
    <w:tmpl w:val="71B8108A"/>
    <w:lvl w:ilvl="0" w:tplc="74D4669E">
      <w:start w:val="1"/>
      <w:numFmt w:val="taiwaneseCountingThousand"/>
      <w:lvlText w:val="%1、"/>
      <w:lvlJc w:val="left"/>
      <w:pPr>
        <w:ind w:left="622" w:hanging="480"/>
      </w:pPr>
      <w:rPr>
        <w:rFonts w:cs="Times New Roman" w:hint="eastAsia"/>
        <w:color w:val="auto"/>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7">
    <w:nsid w:val="613D2CD2"/>
    <w:multiLevelType w:val="hybridMultilevel"/>
    <w:tmpl w:val="6CFEDEA6"/>
    <w:lvl w:ilvl="0" w:tplc="74D4669E">
      <w:start w:val="1"/>
      <w:numFmt w:val="taiwaneseCountingThousand"/>
      <w:lvlText w:val="%1、"/>
      <w:lvlJc w:val="left"/>
      <w:pPr>
        <w:ind w:left="622" w:hanging="480"/>
      </w:pPr>
      <w:rPr>
        <w:rFonts w:cs="Times New Roman" w:hint="eastAsia"/>
        <w:color w:val="auto"/>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8">
    <w:nsid w:val="68641E72"/>
    <w:multiLevelType w:val="hybridMultilevel"/>
    <w:tmpl w:val="24505AF8"/>
    <w:lvl w:ilvl="0" w:tplc="417CAA34">
      <w:start w:val="1"/>
      <w:numFmt w:val="taiwaneseCountingThousand"/>
      <w:suff w:val="nothing"/>
      <w:lvlText w:val="（%1）"/>
      <w:lvlJc w:val="left"/>
      <w:pPr>
        <w:ind w:left="851" w:hanging="709"/>
      </w:pPr>
      <w:rPr>
        <w:rFonts w:cs="Times New Roman" w:hint="default"/>
      </w:rPr>
    </w:lvl>
    <w:lvl w:ilvl="1" w:tplc="04090019" w:tentative="1">
      <w:start w:val="1"/>
      <w:numFmt w:val="ideographTraditional"/>
      <w:lvlText w:val="%2、"/>
      <w:lvlJc w:val="left"/>
      <w:pPr>
        <w:ind w:left="1246" w:hanging="480"/>
      </w:pPr>
      <w:rPr>
        <w:rFonts w:cs="Times New Roman"/>
      </w:rPr>
    </w:lvl>
    <w:lvl w:ilvl="2" w:tplc="0409001B" w:tentative="1">
      <w:start w:val="1"/>
      <w:numFmt w:val="lowerRoman"/>
      <w:lvlText w:val="%3."/>
      <w:lvlJc w:val="right"/>
      <w:pPr>
        <w:ind w:left="1726" w:hanging="480"/>
      </w:pPr>
      <w:rPr>
        <w:rFonts w:cs="Times New Roman"/>
      </w:rPr>
    </w:lvl>
    <w:lvl w:ilvl="3" w:tplc="0409000F" w:tentative="1">
      <w:start w:val="1"/>
      <w:numFmt w:val="decimal"/>
      <w:lvlText w:val="%4."/>
      <w:lvlJc w:val="left"/>
      <w:pPr>
        <w:ind w:left="2206" w:hanging="480"/>
      </w:pPr>
      <w:rPr>
        <w:rFonts w:cs="Times New Roman"/>
      </w:rPr>
    </w:lvl>
    <w:lvl w:ilvl="4" w:tplc="04090019" w:tentative="1">
      <w:start w:val="1"/>
      <w:numFmt w:val="ideographTraditional"/>
      <w:lvlText w:val="%5、"/>
      <w:lvlJc w:val="left"/>
      <w:pPr>
        <w:ind w:left="2686" w:hanging="480"/>
      </w:pPr>
      <w:rPr>
        <w:rFonts w:cs="Times New Roman"/>
      </w:rPr>
    </w:lvl>
    <w:lvl w:ilvl="5" w:tplc="0409001B" w:tentative="1">
      <w:start w:val="1"/>
      <w:numFmt w:val="lowerRoman"/>
      <w:lvlText w:val="%6."/>
      <w:lvlJc w:val="right"/>
      <w:pPr>
        <w:ind w:left="3166" w:hanging="480"/>
      </w:pPr>
      <w:rPr>
        <w:rFonts w:cs="Times New Roman"/>
      </w:rPr>
    </w:lvl>
    <w:lvl w:ilvl="6" w:tplc="0409000F" w:tentative="1">
      <w:start w:val="1"/>
      <w:numFmt w:val="decimal"/>
      <w:lvlText w:val="%7."/>
      <w:lvlJc w:val="left"/>
      <w:pPr>
        <w:ind w:left="3646" w:hanging="480"/>
      </w:pPr>
      <w:rPr>
        <w:rFonts w:cs="Times New Roman"/>
      </w:rPr>
    </w:lvl>
    <w:lvl w:ilvl="7" w:tplc="04090019" w:tentative="1">
      <w:start w:val="1"/>
      <w:numFmt w:val="ideographTraditional"/>
      <w:lvlText w:val="%8、"/>
      <w:lvlJc w:val="left"/>
      <w:pPr>
        <w:ind w:left="4126" w:hanging="480"/>
      </w:pPr>
      <w:rPr>
        <w:rFonts w:cs="Times New Roman"/>
      </w:rPr>
    </w:lvl>
    <w:lvl w:ilvl="8" w:tplc="0409001B" w:tentative="1">
      <w:start w:val="1"/>
      <w:numFmt w:val="lowerRoman"/>
      <w:lvlText w:val="%9."/>
      <w:lvlJc w:val="right"/>
      <w:pPr>
        <w:ind w:left="4606" w:hanging="480"/>
      </w:pPr>
      <w:rPr>
        <w:rFonts w:cs="Times New Roman"/>
      </w:rPr>
    </w:lvl>
  </w:abstractNum>
  <w:num w:numId="1">
    <w:abstractNumId w:val="6"/>
  </w:num>
  <w:num w:numId="2">
    <w:abstractNumId w:val="1"/>
  </w:num>
  <w:num w:numId="3">
    <w:abstractNumId w:val="5"/>
  </w:num>
  <w:num w:numId="4">
    <w:abstractNumId w:val="0"/>
  </w:num>
  <w:num w:numId="5">
    <w:abstractNumId w:val="4"/>
  </w:num>
  <w:num w:numId="6">
    <w:abstractNumId w:val="7"/>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3A7"/>
    <w:rsid w:val="00003669"/>
    <w:rsid w:val="000F030E"/>
    <w:rsid w:val="000F62CA"/>
    <w:rsid w:val="0010153F"/>
    <w:rsid w:val="0011049A"/>
    <w:rsid w:val="00115EE5"/>
    <w:rsid w:val="00122DB6"/>
    <w:rsid w:val="001A4FA3"/>
    <w:rsid w:val="001F03DE"/>
    <w:rsid w:val="00204872"/>
    <w:rsid w:val="0020731A"/>
    <w:rsid w:val="0023541B"/>
    <w:rsid w:val="002A3CBB"/>
    <w:rsid w:val="002C1B10"/>
    <w:rsid w:val="002D43F3"/>
    <w:rsid w:val="003840DE"/>
    <w:rsid w:val="00392DA9"/>
    <w:rsid w:val="003C014D"/>
    <w:rsid w:val="003C60F3"/>
    <w:rsid w:val="0040695F"/>
    <w:rsid w:val="00416775"/>
    <w:rsid w:val="0045393D"/>
    <w:rsid w:val="004579EE"/>
    <w:rsid w:val="004626BB"/>
    <w:rsid w:val="00462A25"/>
    <w:rsid w:val="004720D1"/>
    <w:rsid w:val="00480F24"/>
    <w:rsid w:val="00484856"/>
    <w:rsid w:val="00485366"/>
    <w:rsid w:val="00485AFB"/>
    <w:rsid w:val="00493AF9"/>
    <w:rsid w:val="0050755D"/>
    <w:rsid w:val="00507B09"/>
    <w:rsid w:val="00511FF2"/>
    <w:rsid w:val="00521D38"/>
    <w:rsid w:val="00527F26"/>
    <w:rsid w:val="005B2541"/>
    <w:rsid w:val="005C62E0"/>
    <w:rsid w:val="005D65E0"/>
    <w:rsid w:val="005F5260"/>
    <w:rsid w:val="00612C7E"/>
    <w:rsid w:val="006A2B10"/>
    <w:rsid w:val="006C6E24"/>
    <w:rsid w:val="00701D3E"/>
    <w:rsid w:val="007502CF"/>
    <w:rsid w:val="00771647"/>
    <w:rsid w:val="0078195A"/>
    <w:rsid w:val="00785A71"/>
    <w:rsid w:val="007B1F30"/>
    <w:rsid w:val="007C6547"/>
    <w:rsid w:val="007F0436"/>
    <w:rsid w:val="007F23A7"/>
    <w:rsid w:val="008152AD"/>
    <w:rsid w:val="00854627"/>
    <w:rsid w:val="0086587A"/>
    <w:rsid w:val="00885862"/>
    <w:rsid w:val="00887FDA"/>
    <w:rsid w:val="008A2974"/>
    <w:rsid w:val="008C1BE0"/>
    <w:rsid w:val="00961461"/>
    <w:rsid w:val="0096279E"/>
    <w:rsid w:val="009C3E03"/>
    <w:rsid w:val="009D44C8"/>
    <w:rsid w:val="009E0DD8"/>
    <w:rsid w:val="009F03DC"/>
    <w:rsid w:val="009F753E"/>
    <w:rsid w:val="00A1746D"/>
    <w:rsid w:val="00A43B77"/>
    <w:rsid w:val="00A44857"/>
    <w:rsid w:val="00A816E0"/>
    <w:rsid w:val="00A823B6"/>
    <w:rsid w:val="00AB5B28"/>
    <w:rsid w:val="00B1565A"/>
    <w:rsid w:val="00B260BE"/>
    <w:rsid w:val="00B31AF2"/>
    <w:rsid w:val="00B37DE1"/>
    <w:rsid w:val="00B54B37"/>
    <w:rsid w:val="00B802EF"/>
    <w:rsid w:val="00BC61DF"/>
    <w:rsid w:val="00BF5017"/>
    <w:rsid w:val="00C02621"/>
    <w:rsid w:val="00C21588"/>
    <w:rsid w:val="00C5134B"/>
    <w:rsid w:val="00D019EE"/>
    <w:rsid w:val="00D1473F"/>
    <w:rsid w:val="00D233EC"/>
    <w:rsid w:val="00D86012"/>
    <w:rsid w:val="00DB0196"/>
    <w:rsid w:val="00DB7F2B"/>
    <w:rsid w:val="00DC14E0"/>
    <w:rsid w:val="00DE0C40"/>
    <w:rsid w:val="00DE0E2F"/>
    <w:rsid w:val="00DF18EC"/>
    <w:rsid w:val="00E71F97"/>
    <w:rsid w:val="00EB1C07"/>
    <w:rsid w:val="00F41CBA"/>
    <w:rsid w:val="00F66D04"/>
    <w:rsid w:val="00F837BA"/>
    <w:rsid w:val="00FA623E"/>
    <w:rsid w:val="00FD5C14"/>
    <w:rsid w:val="00FF60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E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7F23A7"/>
    <w:pPr>
      <w:widowControl/>
      <w:spacing w:after="225"/>
    </w:pPr>
    <w:rPr>
      <w:rFonts w:ascii="新細明體" w:hAnsi="新細明體" w:cs="新細明體"/>
      <w:color w:val="333333"/>
      <w:kern w:val="0"/>
      <w:szCs w:val="24"/>
    </w:rPr>
  </w:style>
  <w:style w:type="character" w:customStyle="1" w:styleId="BodyTextIndent3Char">
    <w:name w:val="Body Text Indent 3 Char"/>
    <w:basedOn w:val="DefaultParagraphFont"/>
    <w:link w:val="BodyTextIndent3"/>
    <w:uiPriority w:val="99"/>
    <w:semiHidden/>
    <w:locked/>
    <w:rsid w:val="007F23A7"/>
    <w:rPr>
      <w:rFonts w:ascii="新細明體" w:eastAsia="新細明體" w:hAnsi="新細明體" w:cs="新細明體"/>
      <w:color w:val="333333"/>
      <w:kern w:val="0"/>
      <w:sz w:val="24"/>
      <w:szCs w:val="24"/>
    </w:rPr>
  </w:style>
  <w:style w:type="paragraph" w:styleId="ListParagraph">
    <w:name w:val="List Paragraph"/>
    <w:basedOn w:val="Normal"/>
    <w:uiPriority w:val="99"/>
    <w:qFormat/>
    <w:rsid w:val="007F23A7"/>
    <w:pPr>
      <w:ind w:leftChars="200" w:left="480"/>
    </w:pPr>
  </w:style>
  <w:style w:type="paragraph" w:styleId="Header">
    <w:name w:val="header"/>
    <w:basedOn w:val="Normal"/>
    <w:link w:val="HeaderChar"/>
    <w:uiPriority w:val="99"/>
    <w:rsid w:val="0000366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03669"/>
    <w:rPr>
      <w:rFonts w:cs="Times New Roman"/>
      <w:sz w:val="20"/>
      <w:szCs w:val="20"/>
    </w:rPr>
  </w:style>
  <w:style w:type="paragraph" w:styleId="Footer">
    <w:name w:val="footer"/>
    <w:basedOn w:val="Normal"/>
    <w:link w:val="FooterChar"/>
    <w:uiPriority w:val="99"/>
    <w:rsid w:val="0000366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03669"/>
    <w:rPr>
      <w:rFonts w:cs="Times New Roman"/>
      <w:sz w:val="20"/>
      <w:szCs w:val="20"/>
    </w:rPr>
  </w:style>
  <w:style w:type="paragraph" w:styleId="BalloonText">
    <w:name w:val="Balloon Text"/>
    <w:basedOn w:val="Normal"/>
    <w:link w:val="BalloonTextChar"/>
    <w:uiPriority w:val="99"/>
    <w:semiHidden/>
    <w:rsid w:val="00DB0196"/>
    <w:rPr>
      <w:rFonts w:ascii="Cambria" w:hAnsi="Cambria"/>
      <w:sz w:val="18"/>
      <w:szCs w:val="18"/>
    </w:rPr>
  </w:style>
  <w:style w:type="character" w:customStyle="1" w:styleId="BalloonTextChar">
    <w:name w:val="Balloon Text Char"/>
    <w:basedOn w:val="DefaultParagraphFont"/>
    <w:link w:val="BalloonText"/>
    <w:uiPriority w:val="99"/>
    <w:semiHidden/>
    <w:locked/>
    <w:rsid w:val="00DB0196"/>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951160506">
      <w:marLeft w:val="0"/>
      <w:marRight w:val="0"/>
      <w:marTop w:val="0"/>
      <w:marBottom w:val="0"/>
      <w:divBdr>
        <w:top w:val="none" w:sz="0" w:space="0" w:color="auto"/>
        <w:left w:val="none" w:sz="0" w:space="0" w:color="auto"/>
        <w:bottom w:val="none" w:sz="0" w:space="0" w:color="auto"/>
        <w:right w:val="none" w:sz="0" w:space="0" w:color="auto"/>
      </w:divBdr>
      <w:divsChild>
        <w:div w:id="1951160505">
          <w:marLeft w:val="0"/>
          <w:marRight w:val="0"/>
          <w:marTop w:val="0"/>
          <w:marBottom w:val="0"/>
          <w:divBdr>
            <w:top w:val="none" w:sz="0" w:space="0" w:color="auto"/>
            <w:left w:val="none" w:sz="0" w:space="0" w:color="auto"/>
            <w:bottom w:val="none" w:sz="0" w:space="0" w:color="auto"/>
            <w:right w:val="none" w:sz="0" w:space="0" w:color="auto"/>
          </w:divBdr>
          <w:divsChild>
            <w:div w:id="1951160507">
              <w:marLeft w:val="0"/>
              <w:marRight w:val="0"/>
              <w:marTop w:val="0"/>
              <w:marBottom w:val="0"/>
              <w:divBdr>
                <w:top w:val="none" w:sz="0" w:space="0" w:color="auto"/>
                <w:left w:val="none" w:sz="0" w:space="0" w:color="auto"/>
                <w:bottom w:val="none" w:sz="0" w:space="0" w:color="auto"/>
                <w:right w:val="none" w:sz="0" w:space="0" w:color="auto"/>
              </w:divBdr>
              <w:divsChild>
                <w:div w:id="1951160508">
                  <w:marLeft w:val="0"/>
                  <w:marRight w:val="0"/>
                  <w:marTop w:val="0"/>
                  <w:marBottom w:val="0"/>
                  <w:divBdr>
                    <w:top w:val="none" w:sz="0" w:space="0" w:color="auto"/>
                    <w:left w:val="none" w:sz="0" w:space="0" w:color="auto"/>
                    <w:bottom w:val="none" w:sz="0" w:space="0" w:color="auto"/>
                    <w:right w:val="none" w:sz="0" w:space="0" w:color="auto"/>
                  </w:divBdr>
                  <w:divsChild>
                    <w:div w:id="1951160503">
                      <w:marLeft w:val="375"/>
                      <w:marRight w:val="375"/>
                      <w:marTop w:val="0"/>
                      <w:marBottom w:val="0"/>
                      <w:divBdr>
                        <w:top w:val="none" w:sz="0" w:space="0" w:color="auto"/>
                        <w:left w:val="none" w:sz="0" w:space="0" w:color="auto"/>
                        <w:bottom w:val="none" w:sz="0" w:space="0" w:color="auto"/>
                        <w:right w:val="none" w:sz="0" w:space="0" w:color="auto"/>
                      </w:divBdr>
                      <w:divsChild>
                        <w:div w:id="19511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345</Words>
  <Characters>1969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教育部國民及學前教育署補助國民中學區域職業試探</dc:title>
  <dc:subject/>
  <dc:creator>user</dc:creator>
  <cp:keywords/>
  <dc:description/>
  <cp:lastModifiedBy>MC SYSTEM</cp:lastModifiedBy>
  <cp:revision>2</cp:revision>
  <cp:lastPrinted>2015-12-04T01:53:00Z</cp:lastPrinted>
  <dcterms:created xsi:type="dcterms:W3CDTF">2015-12-31T07:35:00Z</dcterms:created>
  <dcterms:modified xsi:type="dcterms:W3CDTF">2015-12-31T07:35:00Z</dcterms:modified>
</cp:coreProperties>
</file>