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BD" w:rsidRPr="00AC6FBD" w:rsidRDefault="00EA3E76" w:rsidP="00AC6FBD">
      <w:pPr>
        <w:jc w:val="center"/>
        <w:rPr>
          <w:rFonts w:ascii="標楷體" w:eastAsia="標楷體" w:hAnsi="標楷體"/>
          <w:sz w:val="40"/>
          <w:szCs w:val="40"/>
        </w:rPr>
      </w:pPr>
      <w:r w:rsidRPr="00EA3E76">
        <w:rPr>
          <w:rFonts w:ascii="標楷體" w:eastAsia="標楷體" w:hAnsi="標楷體" w:hint="eastAsia"/>
          <w:sz w:val="40"/>
          <w:szCs w:val="40"/>
        </w:rPr>
        <w:t>花蓮縣104年提升國中小校園網路品質</w:t>
      </w:r>
    </w:p>
    <w:p w:rsidR="00AC6FBD" w:rsidRDefault="00AC6FBD" w:rsidP="00AC6FBD">
      <w:pPr>
        <w:jc w:val="center"/>
        <w:rPr>
          <w:rFonts w:ascii="標楷體" w:eastAsia="標楷體" w:hAnsi="標楷體"/>
          <w:sz w:val="40"/>
          <w:szCs w:val="40"/>
        </w:rPr>
      </w:pPr>
      <w:r w:rsidRPr="00AC6FBD">
        <w:rPr>
          <w:rFonts w:ascii="標楷體" w:eastAsia="標楷體" w:hAnsi="標楷體" w:hint="eastAsia"/>
          <w:sz w:val="40"/>
          <w:szCs w:val="40"/>
        </w:rPr>
        <w:t>規</w:t>
      </w:r>
      <w:r w:rsidRPr="00AC6FBD">
        <w:rPr>
          <w:rFonts w:ascii="標楷體" w:eastAsia="標楷體" w:hAnsi="標楷體"/>
          <w:sz w:val="40"/>
          <w:szCs w:val="40"/>
        </w:rPr>
        <w:t>格需求書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3"/>
        <w:gridCol w:w="7750"/>
        <w:gridCol w:w="743"/>
      </w:tblGrid>
      <w:tr w:rsidR="004E102C" w:rsidRPr="008471FF" w:rsidTr="004E102C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4E102C" w:rsidRPr="008471FF" w:rsidRDefault="004E102C" w:rsidP="00463535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0" w:firstLine="0"/>
              <w:jc w:val="center"/>
              <w:rPr>
                <w:rFonts w:hAnsi="標楷體"/>
                <w:b/>
                <w:sz w:val="16"/>
                <w:szCs w:val="16"/>
                <w:lang w:val="en-US" w:eastAsia="zh-TW"/>
              </w:rPr>
            </w:pPr>
            <w:r w:rsidRPr="008471FF">
              <w:rPr>
                <w:rFonts w:hAnsi="標楷體" w:hint="eastAsia"/>
                <w:b/>
                <w:lang w:val="en-US" w:eastAsia="zh-TW"/>
              </w:rPr>
              <w:t>項目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E102C" w:rsidRPr="008471FF" w:rsidRDefault="004E102C" w:rsidP="00463535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0" w:firstLine="0"/>
              <w:jc w:val="center"/>
              <w:rPr>
                <w:rFonts w:hAnsi="標楷體"/>
                <w:b/>
                <w:lang w:val="en-US" w:eastAsia="zh-TW"/>
              </w:rPr>
            </w:pPr>
            <w:r w:rsidRPr="008471FF">
              <w:rPr>
                <w:rFonts w:hAnsi="標楷體" w:hint="eastAsia"/>
                <w:b/>
                <w:lang w:val="en-US" w:eastAsia="zh-TW"/>
              </w:rPr>
              <w:t>項目</w:t>
            </w:r>
          </w:p>
          <w:p w:rsidR="004E102C" w:rsidRPr="008471FF" w:rsidRDefault="004E102C" w:rsidP="00463535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0" w:firstLine="0"/>
              <w:jc w:val="center"/>
              <w:rPr>
                <w:rFonts w:hAnsi="標楷體"/>
                <w:b/>
                <w:lang w:val="en-US" w:eastAsia="zh-TW"/>
              </w:rPr>
            </w:pPr>
            <w:r w:rsidRPr="008471FF">
              <w:rPr>
                <w:rFonts w:hAnsi="標楷體" w:hint="eastAsia"/>
                <w:b/>
                <w:lang w:val="en-US" w:eastAsia="zh-TW"/>
              </w:rPr>
              <w:t>名稱</w:t>
            </w:r>
          </w:p>
        </w:tc>
        <w:tc>
          <w:tcPr>
            <w:tcW w:w="7750" w:type="dxa"/>
            <w:vAlign w:val="center"/>
          </w:tcPr>
          <w:p w:rsidR="004E102C" w:rsidRPr="008471FF" w:rsidRDefault="004E102C" w:rsidP="00463535">
            <w:pPr>
              <w:pStyle w:val="a8"/>
              <w:kinsoku w:val="0"/>
              <w:overflowPunct w:val="0"/>
              <w:autoSpaceDE w:val="0"/>
              <w:autoSpaceDN w:val="0"/>
              <w:snapToGrid w:val="0"/>
              <w:ind w:left="0"/>
              <w:jc w:val="center"/>
              <w:rPr>
                <w:rFonts w:hAnsi="標楷體"/>
                <w:b/>
                <w:lang w:val="en-US" w:eastAsia="zh-TW"/>
              </w:rPr>
            </w:pPr>
            <w:r w:rsidRPr="008471FF">
              <w:rPr>
                <w:rFonts w:hAnsi="標楷體" w:hint="eastAsia"/>
                <w:b/>
                <w:lang w:val="en-US" w:eastAsia="zh-TW"/>
              </w:rPr>
              <w:t>內容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E102C" w:rsidRPr="008471FF" w:rsidRDefault="004E102C" w:rsidP="00463535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480" w:lineRule="exact"/>
              <w:ind w:left="0" w:hanging="44"/>
              <w:jc w:val="center"/>
              <w:rPr>
                <w:rFonts w:hAnsi="標楷體"/>
                <w:b/>
                <w:lang w:val="en-US" w:eastAsia="zh-TW"/>
              </w:rPr>
            </w:pPr>
            <w:r w:rsidRPr="008471FF">
              <w:rPr>
                <w:rFonts w:hAnsi="標楷體" w:hint="eastAsia"/>
                <w:b/>
                <w:lang w:val="en-US" w:eastAsia="zh-TW"/>
              </w:rPr>
              <w:t>單位</w:t>
            </w:r>
          </w:p>
        </w:tc>
      </w:tr>
      <w:tr w:rsidR="004E102C" w:rsidRPr="008471FF" w:rsidTr="004E102C">
        <w:trPr>
          <w:trHeight w:val="2556"/>
        </w:trPr>
        <w:tc>
          <w:tcPr>
            <w:tcW w:w="709" w:type="dxa"/>
            <w:shd w:val="clear" w:color="auto" w:fill="auto"/>
            <w:vAlign w:val="center"/>
          </w:tcPr>
          <w:p w:rsidR="004E102C" w:rsidRPr="008471FF" w:rsidRDefault="004E102C" w:rsidP="008471FF">
            <w:pPr>
              <w:pStyle w:val="a8"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ind w:leftChars="11" w:left="333" w:hangingChars="128" w:hanging="307"/>
              <w:jc w:val="center"/>
              <w:rPr>
                <w:rFonts w:hAnsi="標楷體"/>
                <w:szCs w:val="24"/>
                <w:lang w:val="en-US" w:eastAsia="zh-TW"/>
              </w:rPr>
            </w:pPr>
            <w:r w:rsidRPr="008471FF">
              <w:rPr>
                <w:rFonts w:hAnsi="標楷體" w:hint="eastAsia"/>
                <w:szCs w:val="24"/>
                <w:lang w:val="en-US" w:eastAsia="zh-TW"/>
              </w:rPr>
              <w:t>一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E102C" w:rsidRPr="008471FF" w:rsidRDefault="004E102C" w:rsidP="008471F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交</w:t>
            </w:r>
            <w:r>
              <w:rPr>
                <w:rFonts w:ascii="標楷體" w:eastAsia="標楷體" w:hAnsi="標楷體"/>
                <w:color w:val="000000"/>
                <w:szCs w:val="24"/>
              </w:rPr>
              <w:t>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器</w:t>
            </w:r>
          </w:p>
        </w:tc>
        <w:tc>
          <w:tcPr>
            <w:tcW w:w="7750" w:type="dxa"/>
          </w:tcPr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一、硬體介面</w:t>
            </w:r>
          </w:p>
          <w:p w:rsidR="004E102C" w:rsidRPr="00356CF4" w:rsidRDefault="004E102C" w:rsidP="000C0296">
            <w:pPr>
              <w:pStyle w:val="Default"/>
              <w:widowControl/>
              <w:spacing w:line="22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1.24 port Giga網路交換器(Network switch)。</w:t>
            </w:r>
          </w:p>
          <w:p w:rsidR="004E102C" w:rsidRPr="00356CF4" w:rsidRDefault="004E102C" w:rsidP="000C0296">
            <w:pPr>
              <w:pStyle w:val="Default"/>
              <w:widowControl/>
              <w:spacing w:line="22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2.提供24個自動偵測(Auto-Sensing)</w:t>
            </w:r>
          </w:p>
          <w:p w:rsidR="004E102C" w:rsidRPr="00356CF4" w:rsidRDefault="004E102C" w:rsidP="000C0296">
            <w:pPr>
              <w:pStyle w:val="Default"/>
              <w:widowControl/>
              <w:spacing w:line="220" w:lineRule="exact"/>
              <w:ind w:firstLineChars="100" w:firstLine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10</w:t>
            </w:r>
            <w:r w:rsidRPr="00356CF4">
              <w:rPr>
                <w:rFonts w:hAnsi="標楷體" w:cs="Arial"/>
                <w:b w:val="0"/>
                <w:color w:val="auto"/>
                <w:sz w:val="20"/>
                <w:szCs w:val="20"/>
              </w:rPr>
              <w:t>M</w:t>
            </w: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/100</w:t>
            </w:r>
            <w:r w:rsidRPr="00356CF4">
              <w:rPr>
                <w:rFonts w:hAnsi="標楷體" w:cs="Arial"/>
                <w:b w:val="0"/>
                <w:color w:val="auto"/>
                <w:sz w:val="20"/>
                <w:szCs w:val="20"/>
              </w:rPr>
              <w:t>M</w:t>
            </w: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/1000</w:t>
            </w:r>
            <w:r w:rsidRPr="00356CF4">
              <w:rPr>
                <w:rFonts w:hAnsi="標楷體" w:cs="Arial"/>
                <w:b w:val="0"/>
                <w:color w:val="auto"/>
                <w:sz w:val="20"/>
                <w:szCs w:val="20"/>
              </w:rPr>
              <w:t>M</w:t>
            </w: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 xml:space="preserve"> Base-TX MDIX RJ-45埠。</w:t>
            </w:r>
          </w:p>
          <w:p w:rsidR="004E102C" w:rsidRPr="00356CF4" w:rsidRDefault="004E102C" w:rsidP="000C0296">
            <w:pPr>
              <w:pStyle w:val="Default"/>
              <w:widowControl/>
              <w:spacing w:line="22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3.提供2組</w:t>
            </w:r>
            <w:r>
              <w:rPr>
                <w:rFonts w:hAnsi="標楷體" w:cs="Arial"/>
                <w:b w:val="0"/>
                <w:color w:val="auto"/>
                <w:sz w:val="20"/>
                <w:szCs w:val="20"/>
              </w:rPr>
              <w:t>10</w:t>
            </w:r>
            <w:r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G</w:t>
            </w:r>
            <w:r w:rsidRPr="00356CF4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 xml:space="preserve"> mini-GBIC PORT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二、系統功能規範：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1.具備Layer 3 IPv4靜態路由(Static Route) 功能: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300" w:hangingChars="150" w:hanging="3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(1)可設定實體網段210.240.xx gateway IP。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300" w:hangingChars="150" w:hanging="3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(2)可設定虛擬網段10.100.xx gateway IP。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300" w:hangingChars="150" w:hanging="3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(3)可設定虛擬網段10.100.xx DHCP動態IP。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300" w:hangingChars="150" w:hanging="3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2.具備Layer 3 IPv6靜態路由(Static Route) 功能: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300" w:hangingChars="150" w:hanging="3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(1)可設定實體網段2001:288:xx gateway IP。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300" w:hangingChars="150" w:hanging="3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(2)可設定實體網段2001:288:xx DHCP6動態IP。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3.支援 IEEE 802.1Q 標準的 VLANs。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4.交換能力達32Gbps(含) 以上。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5.網路迴圈偵測及防止功能。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6.DHCP Server Screening功能，阻斷非法DHCP Server派發IP。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7.具備獨立Console埠管理介面。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8.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主機提供燈號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(LEDs)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，可顯示每一埠之工作狀態。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9.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可在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IPv4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及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IPv6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雙軌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(Dual Stack)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運行之網路環境下，以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IPv4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或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IPv6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管理交換器，並支援以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IPv6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來設定交換器的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IP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地址。</w:t>
            </w:r>
          </w:p>
          <w:p w:rsidR="004E102C" w:rsidRPr="00DE77C3" w:rsidRDefault="004E102C" w:rsidP="00743F48">
            <w:pPr>
              <w:pStyle w:val="Default"/>
              <w:widowControl/>
              <w:spacing w:line="22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10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.支援QoS</w:t>
            </w:r>
            <w:bookmarkStart w:id="0" w:name="_GoBack"/>
            <w:bookmarkEnd w:id="0"/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三、管理功能與保固條件：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1.提供Web Based/HTTPS遠端管理功能。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2.支援SNMPv1/v2c/v3管理功能。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3.保</w:t>
            </w:r>
            <w:r w:rsidRPr="00DE77C3">
              <w:rPr>
                <w:rFonts w:hAnsi="標楷體" w:cs="Arial"/>
                <w:b w:val="0"/>
                <w:color w:val="auto"/>
                <w:sz w:val="20"/>
                <w:szCs w:val="20"/>
              </w:rPr>
              <w:t>固</w:t>
            </w: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4年</w:t>
            </w: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</w:p>
          <w:p w:rsidR="004E102C" w:rsidRPr="00DE77C3" w:rsidRDefault="004E102C" w:rsidP="001A3D54">
            <w:pPr>
              <w:pStyle w:val="Default"/>
              <w:widowControl/>
              <w:spacing w:line="260" w:lineRule="exact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四、安全規範：</w:t>
            </w:r>
          </w:p>
          <w:p w:rsidR="004E102C" w:rsidRPr="00DE77C3" w:rsidRDefault="004E102C" w:rsidP="001A3D54">
            <w:pPr>
              <w:pStyle w:val="Default"/>
              <w:widowControl/>
              <w:adjustRightInd/>
              <w:spacing w:line="260" w:lineRule="exact"/>
              <w:ind w:left="200" w:hangingChars="100" w:hanging="200"/>
              <w:rPr>
                <w:rFonts w:hAnsi="標楷體" w:cs="Arial"/>
                <w:b w:val="0"/>
                <w:color w:val="auto"/>
                <w:sz w:val="20"/>
                <w:szCs w:val="20"/>
              </w:rPr>
            </w:pPr>
            <w:r w:rsidRPr="00DE77C3">
              <w:rPr>
                <w:rFonts w:hAnsi="標楷體" w:cs="Arial" w:hint="eastAsia"/>
                <w:b w:val="0"/>
                <w:color w:val="auto"/>
                <w:sz w:val="20"/>
                <w:szCs w:val="20"/>
              </w:rPr>
              <w:t>1.通過UL、FCC、BSMI、ROHS等安全標準認證。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E102C" w:rsidRPr="008471FF" w:rsidRDefault="004E102C" w:rsidP="00743F4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71FF">
              <w:rPr>
                <w:rFonts w:ascii="標楷體" w:eastAsia="標楷體" w:hAnsi="標楷體" w:hint="eastAsia"/>
                <w:szCs w:val="24"/>
              </w:rPr>
              <w:t>臺</w:t>
            </w:r>
          </w:p>
        </w:tc>
      </w:tr>
      <w:tr w:rsidR="001A3D54" w:rsidRPr="008471FF" w:rsidTr="001A3D54">
        <w:trPr>
          <w:trHeight w:val="1721"/>
        </w:trPr>
        <w:tc>
          <w:tcPr>
            <w:tcW w:w="10235" w:type="dxa"/>
            <w:gridSpan w:val="4"/>
            <w:shd w:val="clear" w:color="auto" w:fill="auto"/>
          </w:tcPr>
          <w:p w:rsidR="001A3D54" w:rsidRPr="001A3D54" w:rsidRDefault="001A3D54" w:rsidP="001A3D54">
            <w:pPr>
              <w:spacing w:line="220" w:lineRule="exact"/>
              <w:ind w:left="-2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  <w:p w:rsidR="001A3D54" w:rsidRPr="001A3D54" w:rsidRDefault="001A3D54" w:rsidP="001A3D54">
            <w:pPr>
              <w:pStyle w:val="a7"/>
              <w:numPr>
                <w:ilvl w:val="0"/>
                <w:numId w:val="1"/>
              </w:numPr>
              <w:spacing w:line="220" w:lineRule="exact"/>
              <w:ind w:leftChars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1A3D54">
              <w:rPr>
                <w:rFonts w:ascii="標楷體" w:eastAsia="標楷體" w:hAnsi="標楷體" w:cs="Arial" w:hint="eastAsia"/>
                <w:sz w:val="20"/>
                <w:szCs w:val="20"/>
              </w:rPr>
              <w:t>裝機、設定、測試連線</w:t>
            </w:r>
          </w:p>
          <w:p w:rsidR="001A3D54" w:rsidRPr="001A3D54" w:rsidRDefault="001A3D54" w:rsidP="001A3D54">
            <w:pPr>
              <w:pStyle w:val="a7"/>
              <w:widowControl/>
              <w:numPr>
                <w:ilvl w:val="0"/>
                <w:numId w:val="2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cs="Arimo" w:hint="eastAsia"/>
                <w:sz w:val="20"/>
                <w:szCs w:val="20"/>
              </w:rPr>
              <w:t>須以工整及美觀為原則</w:t>
            </w: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A3D54" w:rsidRPr="001A3D54" w:rsidRDefault="001A3D54" w:rsidP="001A3D54">
            <w:pPr>
              <w:pStyle w:val="a7"/>
              <w:widowControl/>
              <w:numPr>
                <w:ilvl w:val="0"/>
                <w:numId w:val="2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建置須包含網路線、設備電源施工</w:t>
            </w:r>
            <w:r w:rsidR="00CE409F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與</w:t>
            </w:r>
            <w:r w:rsidR="00CE409F">
              <w:rPr>
                <w:rFonts w:ascii="標楷體" w:eastAsia="標楷體" w:hAnsi="標楷體" w:cs="Arimo"/>
                <w:kern w:val="0"/>
                <w:sz w:val="20"/>
                <w:szCs w:val="20"/>
              </w:rPr>
              <w:t>供</w:t>
            </w:r>
            <w:r w:rsidR="00CE409F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電</w:t>
            </w:r>
            <w:r w:rsidR="00CE409F">
              <w:rPr>
                <w:rFonts w:ascii="標楷體" w:eastAsia="標楷體" w:hAnsi="標楷體" w:cs="Arimo"/>
                <w:kern w:val="0"/>
                <w:sz w:val="20"/>
                <w:szCs w:val="20"/>
              </w:rPr>
              <w:t>方式</w:t>
            </w:r>
            <w:r w:rsidR="00C24392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，並請</w:t>
            </w:r>
            <w:r w:rsidR="00C24392" w:rsidRPr="001A3D54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考量電源線或插座是否可承受新建設備之電流量以維護設備安全</w:t>
            </w:r>
            <w:r w:rsidRPr="001A3D54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。</w:t>
            </w:r>
          </w:p>
          <w:p w:rsidR="001A3D54" w:rsidRPr="00C24392" w:rsidRDefault="001A3D54" w:rsidP="001A3D54">
            <w:pPr>
              <w:pStyle w:val="a7"/>
              <w:widowControl/>
              <w:numPr>
                <w:ilvl w:val="0"/>
                <w:numId w:val="2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配線均需經過理線槽</w:t>
            </w:r>
            <w:r w:rsidRPr="001A3D54">
              <w:rPr>
                <w:rFonts w:ascii="標楷體" w:eastAsia="標楷體" w:hAnsi="標楷體" w:cs="Arimo"/>
                <w:kern w:val="0"/>
                <w:sz w:val="20"/>
                <w:szCs w:val="20"/>
              </w:rPr>
              <w:t>(</w:t>
            </w:r>
            <w:r w:rsidRPr="001A3D54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或配管、壓條</w:t>
            </w:r>
            <w:r w:rsidRPr="001A3D54">
              <w:rPr>
                <w:rFonts w:ascii="標楷體" w:eastAsia="標楷體" w:hAnsi="標楷體" w:cs="Arimo"/>
                <w:kern w:val="0"/>
                <w:sz w:val="20"/>
                <w:szCs w:val="20"/>
              </w:rPr>
              <w:t>)</w:t>
            </w:r>
            <w:r w:rsidRPr="001A3D54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並以束線帶整理整齊，佈線時有轉折處需垂直配置且不可有扭折現象，導線不得外露並注意美觀。使用之線槽、配管或壓條，須以螺絲、釘子或其他方式固定，不得只用黏貼方式固定。</w:t>
            </w:r>
          </w:p>
          <w:p w:rsidR="00C24392" w:rsidRPr="001D1AA1" w:rsidRDefault="00C24392" w:rsidP="001A3D54">
            <w:pPr>
              <w:pStyle w:val="a7"/>
              <w:widowControl/>
              <w:numPr>
                <w:ilvl w:val="0"/>
                <w:numId w:val="2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本設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備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之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功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能設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定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以及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外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接埠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線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或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其他控管方式，請依本府教育網路中心網路控管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需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求辦理。</w:t>
            </w:r>
          </w:p>
          <w:p w:rsidR="001D1AA1" w:rsidRPr="001A3D54" w:rsidRDefault="001D1AA1" w:rsidP="001A3D54">
            <w:pPr>
              <w:pStyle w:val="a7"/>
              <w:widowControl/>
              <w:numPr>
                <w:ilvl w:val="0"/>
                <w:numId w:val="2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本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設備依本府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教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育網路中心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規定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完成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佈（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連）線後，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尚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有連接埠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未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使用者，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需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以網路接頭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RJ45母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座用防塵保護蓋（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帶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把式）</w:t>
            </w:r>
            <w:r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蓋</w:t>
            </w:r>
            <w:r>
              <w:rPr>
                <w:rFonts w:ascii="標楷體" w:eastAsia="標楷體" w:hAnsi="標楷體" w:cs="Arimo"/>
                <w:kern w:val="0"/>
                <w:sz w:val="20"/>
                <w:szCs w:val="20"/>
              </w:rPr>
              <w:t>上</w:t>
            </w:r>
            <w:r w:rsidR="00155808">
              <w:rPr>
                <w:rFonts w:ascii="標楷體" w:eastAsia="標楷體" w:hAnsi="標楷體" w:cs="Arimo" w:hint="eastAsia"/>
                <w:kern w:val="0"/>
                <w:sz w:val="20"/>
                <w:szCs w:val="20"/>
              </w:rPr>
              <w:t>。</w:t>
            </w:r>
          </w:p>
          <w:p w:rsidR="001A3D54" w:rsidRPr="001A3D54" w:rsidRDefault="001A3D54" w:rsidP="001A3D54">
            <w:pPr>
              <w:pStyle w:val="a7"/>
              <w:widowControl/>
              <w:numPr>
                <w:ilvl w:val="0"/>
                <w:numId w:val="2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本案主要部分(含裝機、設定、測試連線)應由得標廠商履約，不得由其他廠商履約。</w:t>
            </w:r>
          </w:p>
          <w:p w:rsidR="001A3D54" w:rsidRPr="001A3D54" w:rsidRDefault="001A3D54" w:rsidP="001A3D54">
            <w:pPr>
              <w:pStyle w:val="a7"/>
              <w:widowControl/>
              <w:numPr>
                <w:ilvl w:val="0"/>
                <w:numId w:val="1"/>
              </w:numPr>
              <w:spacing w:line="220" w:lineRule="exact"/>
              <w:ind w:leftChars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交貨與驗收</w:t>
            </w:r>
          </w:p>
          <w:p w:rsidR="00CC3C74" w:rsidRDefault="001A3D54" w:rsidP="00CC3C74">
            <w:pPr>
              <w:snapToGrid w:val="0"/>
              <w:spacing w:line="220" w:lineRule="exact"/>
              <w:ind w:left="35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1.廠商應於各裝置地點完成以下作業：</w:t>
            </w:r>
          </w:p>
          <w:p w:rsidR="001A3D54" w:rsidRPr="001A3D54" w:rsidRDefault="001A3D54" w:rsidP="00CC3C74">
            <w:pPr>
              <w:snapToGrid w:val="0"/>
              <w:spacing w:line="220" w:lineRule="exact"/>
              <w:ind w:leftChars="50" w:left="374" w:hangingChars="127" w:hanging="254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功能測試作業：廠商於各裝置地點裝機完成時，各裝置地點測試其連線是否正常。</w:t>
            </w:r>
          </w:p>
          <w:p w:rsidR="001A3D54" w:rsidRPr="001A3D54" w:rsidRDefault="001A3D54" w:rsidP="001A3D54">
            <w:pPr>
              <w:snapToGrid w:val="0"/>
              <w:spacing w:line="220" w:lineRule="exact"/>
              <w:ind w:leftChars="50" w:left="42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/>
                <w:sz w:val="20"/>
                <w:szCs w:val="20"/>
              </w:rPr>
              <w:t>(2)</w:t>
            </w: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「交貨驗收紀錄」收集作業：依契約驗收條款，將採購標的送至交貨學校後，完成裝機、設定、測試連線後。逕向交貨學校申請實質（現場）驗收，另俟彙齊各校「交貨驗收紀錄」後，檢具前揭文件向機關申請（書面）初驗。另依契約驗收規定繳交「交貨驗收照片」。</w:t>
            </w:r>
          </w:p>
          <w:p w:rsidR="001A3D54" w:rsidRPr="001A3D54" w:rsidRDefault="001A3D54" w:rsidP="001A3D54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A3D54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1A3D54">
              <w:rPr>
                <w:rFonts w:ascii="標楷體" w:eastAsia="標楷體" w:hAnsi="標楷體"/>
                <w:sz w:val="20"/>
                <w:szCs w:val="20"/>
              </w:rPr>
              <w:t>、保固期限：詳如契約保固條款。</w:t>
            </w:r>
          </w:p>
        </w:tc>
      </w:tr>
    </w:tbl>
    <w:p w:rsidR="008471FF" w:rsidRDefault="008471FF" w:rsidP="001A3D54">
      <w:pPr>
        <w:spacing w:line="240" w:lineRule="exact"/>
        <w:rPr>
          <w:rFonts w:ascii="標楷體" w:eastAsia="標楷體" w:hAnsi="標楷體"/>
          <w:sz w:val="40"/>
          <w:szCs w:val="40"/>
        </w:rPr>
      </w:pPr>
    </w:p>
    <w:sectPr w:rsidR="008471FF" w:rsidSect="00AC6FB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CB" w:rsidRDefault="00C402CB" w:rsidP="00AC6FBD">
      <w:r>
        <w:separator/>
      </w:r>
    </w:p>
  </w:endnote>
  <w:endnote w:type="continuationSeparator" w:id="0">
    <w:p w:rsidR="00C402CB" w:rsidRDefault="00C402CB" w:rsidP="00AC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CB" w:rsidRDefault="00C402CB" w:rsidP="00AC6FBD">
      <w:r>
        <w:separator/>
      </w:r>
    </w:p>
  </w:footnote>
  <w:footnote w:type="continuationSeparator" w:id="0">
    <w:p w:rsidR="00C402CB" w:rsidRDefault="00C402CB" w:rsidP="00AC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DD1"/>
    <w:multiLevelType w:val="hybridMultilevel"/>
    <w:tmpl w:val="37423C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73A06"/>
    <w:multiLevelType w:val="hybridMultilevel"/>
    <w:tmpl w:val="A29A5990"/>
    <w:lvl w:ilvl="0" w:tplc="63B0E138">
      <w:start w:val="1"/>
      <w:numFmt w:val="decimal"/>
      <w:lvlText w:val="%1."/>
      <w:lvlJc w:val="left"/>
      <w:pPr>
        <w:ind w:left="360" w:hanging="360"/>
      </w:pPr>
      <w:rPr>
        <w:rFonts w:cs="Arim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719A2"/>
    <w:multiLevelType w:val="hybridMultilevel"/>
    <w:tmpl w:val="1F764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80987"/>
    <w:multiLevelType w:val="hybridMultilevel"/>
    <w:tmpl w:val="3A30BF2A"/>
    <w:lvl w:ilvl="0" w:tplc="EEC806E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59FECCF4">
      <w:start w:val="1"/>
      <w:numFmt w:val="lowerLetter"/>
      <w:lvlText w:val="%2.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E4"/>
    <w:rsid w:val="000305C2"/>
    <w:rsid w:val="000C0296"/>
    <w:rsid w:val="000E1D15"/>
    <w:rsid w:val="001053CE"/>
    <w:rsid w:val="00155761"/>
    <w:rsid w:val="00155808"/>
    <w:rsid w:val="00170FBA"/>
    <w:rsid w:val="001920D7"/>
    <w:rsid w:val="001A3D54"/>
    <w:rsid w:val="001D1AA1"/>
    <w:rsid w:val="001E3BE8"/>
    <w:rsid w:val="00231F02"/>
    <w:rsid w:val="00244349"/>
    <w:rsid w:val="00283566"/>
    <w:rsid w:val="00287A86"/>
    <w:rsid w:val="002A2A66"/>
    <w:rsid w:val="002B4881"/>
    <w:rsid w:val="003A52E1"/>
    <w:rsid w:val="00406760"/>
    <w:rsid w:val="00412E48"/>
    <w:rsid w:val="004E102C"/>
    <w:rsid w:val="005144CC"/>
    <w:rsid w:val="005175E4"/>
    <w:rsid w:val="00583A93"/>
    <w:rsid w:val="005A111F"/>
    <w:rsid w:val="005C357A"/>
    <w:rsid w:val="00622153"/>
    <w:rsid w:val="00654208"/>
    <w:rsid w:val="006B24AA"/>
    <w:rsid w:val="006C5745"/>
    <w:rsid w:val="00743F48"/>
    <w:rsid w:val="007C12C8"/>
    <w:rsid w:val="008471FF"/>
    <w:rsid w:val="008544D7"/>
    <w:rsid w:val="00892307"/>
    <w:rsid w:val="008D4296"/>
    <w:rsid w:val="00916C6D"/>
    <w:rsid w:val="00A10285"/>
    <w:rsid w:val="00AC6FBD"/>
    <w:rsid w:val="00BB3D87"/>
    <w:rsid w:val="00BC008E"/>
    <w:rsid w:val="00C2306F"/>
    <w:rsid w:val="00C24392"/>
    <w:rsid w:val="00C402CB"/>
    <w:rsid w:val="00CA34DC"/>
    <w:rsid w:val="00CC3C74"/>
    <w:rsid w:val="00CD5B26"/>
    <w:rsid w:val="00CE409F"/>
    <w:rsid w:val="00D8738B"/>
    <w:rsid w:val="00DA0E9D"/>
    <w:rsid w:val="00DB62AC"/>
    <w:rsid w:val="00DE77C3"/>
    <w:rsid w:val="00EA3E76"/>
    <w:rsid w:val="00ED6127"/>
    <w:rsid w:val="00F071A5"/>
    <w:rsid w:val="00F336E5"/>
    <w:rsid w:val="00F93819"/>
    <w:rsid w:val="00F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2D062-C064-4C3E-9884-F54A4C1D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F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FBD"/>
    <w:rPr>
      <w:sz w:val="20"/>
      <w:szCs w:val="20"/>
    </w:rPr>
  </w:style>
  <w:style w:type="paragraph" w:styleId="a7">
    <w:name w:val="List Paragraph"/>
    <w:basedOn w:val="a"/>
    <w:uiPriority w:val="34"/>
    <w:qFormat/>
    <w:rsid w:val="00AC6FBD"/>
    <w:pPr>
      <w:ind w:leftChars="200" w:left="480"/>
    </w:pPr>
  </w:style>
  <w:style w:type="paragraph" w:customStyle="1" w:styleId="Default">
    <w:name w:val="Default"/>
    <w:rsid w:val="008471FF"/>
    <w:pPr>
      <w:widowControl w:val="0"/>
      <w:autoSpaceDE w:val="0"/>
      <w:autoSpaceDN w:val="0"/>
      <w:adjustRightInd w:val="0"/>
    </w:pPr>
    <w:rPr>
      <w:rFonts w:ascii="標楷體" w:eastAsia="標楷體" w:hAnsi="Adobe 繁黑體 Std B" w:cs="標楷體"/>
      <w:b/>
      <w:color w:val="000000"/>
      <w:kern w:val="0"/>
      <w:szCs w:val="24"/>
    </w:rPr>
  </w:style>
  <w:style w:type="paragraph" w:styleId="a8">
    <w:name w:val="Body Text Indent"/>
    <w:basedOn w:val="a"/>
    <w:link w:val="a9"/>
    <w:rsid w:val="008471FF"/>
    <w:pPr>
      <w:adjustRightInd w:val="0"/>
      <w:spacing w:line="300" w:lineRule="atLeast"/>
      <w:ind w:left="1134" w:hanging="567"/>
      <w:jc w:val="both"/>
    </w:pPr>
    <w:rPr>
      <w:rFonts w:ascii="標楷體" w:eastAsia="標楷體" w:hAnsi="Times New Roman" w:cs="Times New Roman"/>
      <w:color w:val="000000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8471FF"/>
    <w:rPr>
      <w:rFonts w:ascii="標楷體" w:eastAsia="標楷體" w:hAnsi="Times New Roman" w:cs="Times New Roman"/>
      <w:color w:val="00000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1D1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D1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CC92-3C95-4E02-8B57-1F72DA7A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2015-10-05T08:29:00Z</cp:lastPrinted>
  <dcterms:created xsi:type="dcterms:W3CDTF">2015-08-26T06:37:00Z</dcterms:created>
  <dcterms:modified xsi:type="dcterms:W3CDTF">2015-11-20T01:04:00Z</dcterms:modified>
</cp:coreProperties>
</file>